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EDB" w:rsidRPr="00B55EDB" w:rsidRDefault="00B55EDB" w:rsidP="00B55EDB">
      <w:pPr>
        <w:ind w:right="-711"/>
        <w:jc w:val="center"/>
        <w:rPr>
          <w:rFonts w:ascii="Arial" w:hAnsi="Arial" w:cs="Arial"/>
          <w:b/>
          <w:color w:val="1F145D"/>
          <w:sz w:val="20"/>
          <w:szCs w:val="20"/>
        </w:rPr>
      </w:pPr>
    </w:p>
    <w:p w:rsidR="00B55EDB" w:rsidRPr="00B55EDB" w:rsidRDefault="00B55EDB" w:rsidP="00B55EDB">
      <w:pPr>
        <w:ind w:right="-711"/>
        <w:jc w:val="center"/>
        <w:rPr>
          <w:rFonts w:ascii="Arial" w:hAnsi="Arial" w:cs="Arial"/>
          <w:b/>
          <w:color w:val="1F145D"/>
          <w:sz w:val="20"/>
          <w:szCs w:val="20"/>
        </w:rPr>
      </w:pPr>
    </w:p>
    <w:p w:rsidR="00B55EDB" w:rsidRPr="00B55EDB" w:rsidRDefault="00B55EDB" w:rsidP="00B55EDB">
      <w:pPr>
        <w:ind w:right="-711"/>
        <w:jc w:val="center"/>
        <w:rPr>
          <w:rFonts w:ascii="Arial" w:hAnsi="Arial" w:cs="Arial"/>
          <w:b/>
          <w:color w:val="1F145D"/>
          <w:sz w:val="20"/>
          <w:szCs w:val="20"/>
        </w:rPr>
      </w:pPr>
    </w:p>
    <w:p w:rsidR="007C7C35" w:rsidRDefault="007C7C35" w:rsidP="00B55EDB">
      <w:pPr>
        <w:ind w:right="-711"/>
        <w:jc w:val="center"/>
        <w:rPr>
          <w:rFonts w:ascii="Arial" w:hAnsi="Arial" w:cs="Arial"/>
          <w:b/>
          <w:color w:val="1F145D"/>
          <w:sz w:val="52"/>
          <w:szCs w:val="52"/>
        </w:rPr>
      </w:pPr>
    </w:p>
    <w:p w:rsidR="007C7C35" w:rsidRDefault="007C7C35" w:rsidP="00B55EDB">
      <w:pPr>
        <w:ind w:right="-711"/>
        <w:jc w:val="center"/>
        <w:rPr>
          <w:rFonts w:ascii="Arial" w:hAnsi="Arial" w:cs="Arial"/>
          <w:b/>
          <w:color w:val="1F145D"/>
          <w:sz w:val="52"/>
          <w:szCs w:val="52"/>
        </w:rPr>
      </w:pPr>
    </w:p>
    <w:p w:rsidR="007C7C35" w:rsidRDefault="007C7C35" w:rsidP="00B55EDB">
      <w:pPr>
        <w:ind w:right="-711"/>
        <w:jc w:val="center"/>
        <w:rPr>
          <w:rFonts w:ascii="Arial" w:hAnsi="Arial" w:cs="Arial"/>
          <w:b/>
          <w:color w:val="1F145D"/>
          <w:sz w:val="52"/>
          <w:szCs w:val="52"/>
        </w:rPr>
      </w:pPr>
    </w:p>
    <w:p w:rsidR="00B55EDB" w:rsidRPr="0086333D" w:rsidRDefault="00B55EDB" w:rsidP="00B55EDB">
      <w:pPr>
        <w:ind w:right="-711"/>
        <w:jc w:val="center"/>
        <w:rPr>
          <w:rFonts w:ascii="Arial" w:hAnsi="Arial" w:cs="Arial"/>
          <w:b/>
          <w:color w:val="1F145D"/>
          <w:sz w:val="52"/>
          <w:szCs w:val="52"/>
        </w:rPr>
      </w:pPr>
      <w:r w:rsidRPr="0086333D">
        <w:rPr>
          <w:rFonts w:ascii="Arial" w:hAnsi="Arial" w:cs="Arial"/>
          <w:b/>
          <w:color w:val="1F145D"/>
          <w:sz w:val="52"/>
          <w:szCs w:val="52"/>
        </w:rPr>
        <w:t xml:space="preserve">BREXIT </w:t>
      </w:r>
      <w:r w:rsidRPr="0086333D">
        <w:rPr>
          <w:rFonts w:ascii="Arial" w:hAnsi="Arial" w:cs="Arial"/>
          <w:b/>
          <w:color w:val="1F145D"/>
          <w:sz w:val="52"/>
          <w:szCs w:val="52"/>
        </w:rPr>
        <w:t xml:space="preserve">REPORT </w:t>
      </w:r>
    </w:p>
    <w:p w:rsidR="00B55EDB" w:rsidRPr="0086333D" w:rsidRDefault="00B55EDB" w:rsidP="00B55EDB">
      <w:pPr>
        <w:ind w:right="-711"/>
        <w:jc w:val="center"/>
        <w:rPr>
          <w:rFonts w:ascii="Arial" w:hAnsi="Arial" w:cs="Arial"/>
          <w:b/>
          <w:color w:val="1F145D"/>
          <w:sz w:val="52"/>
          <w:szCs w:val="52"/>
        </w:rPr>
      </w:pPr>
      <w:r w:rsidRPr="0086333D">
        <w:rPr>
          <w:rFonts w:ascii="Arial" w:hAnsi="Arial" w:cs="Arial"/>
          <w:b/>
          <w:color w:val="1F145D"/>
          <w:sz w:val="52"/>
          <w:szCs w:val="52"/>
        </w:rPr>
        <w:t>2016</w:t>
      </w:r>
    </w:p>
    <w:p w:rsidR="00B55EDB" w:rsidRPr="00B55EDB" w:rsidRDefault="00B55EDB" w:rsidP="00B55EDB">
      <w:pPr>
        <w:rPr>
          <w:rFonts w:ascii="Arial" w:hAnsi="Arial" w:cs="Arial"/>
          <w:sz w:val="20"/>
          <w:szCs w:val="20"/>
        </w:rPr>
      </w:pPr>
    </w:p>
    <w:p w:rsidR="00B55EDB" w:rsidRPr="00B55EDB" w:rsidRDefault="00B55EDB" w:rsidP="00B55EDB">
      <w:pPr>
        <w:rPr>
          <w:rFonts w:ascii="Arial" w:hAnsi="Arial" w:cs="Arial"/>
          <w:sz w:val="20"/>
          <w:szCs w:val="20"/>
        </w:rPr>
      </w:pPr>
    </w:p>
    <w:p w:rsidR="00B55EDB" w:rsidRPr="00B55EDB" w:rsidRDefault="00B55EDB" w:rsidP="00B55EDB">
      <w:pPr>
        <w:rPr>
          <w:rFonts w:ascii="Arial" w:hAnsi="Arial" w:cs="Arial"/>
          <w:sz w:val="20"/>
          <w:szCs w:val="20"/>
        </w:rPr>
      </w:pPr>
    </w:p>
    <w:p w:rsidR="00B55EDB" w:rsidRDefault="00B55EDB" w:rsidP="00B55EDB">
      <w:pPr>
        <w:rPr>
          <w:rFonts w:ascii="Arial" w:hAnsi="Arial" w:cs="Arial"/>
          <w:sz w:val="20"/>
          <w:szCs w:val="20"/>
        </w:rPr>
      </w:pPr>
    </w:p>
    <w:p w:rsidR="007C7C35" w:rsidRDefault="007C7C35" w:rsidP="00B55EDB">
      <w:pPr>
        <w:rPr>
          <w:rFonts w:ascii="Arial" w:hAnsi="Arial" w:cs="Arial"/>
          <w:sz w:val="20"/>
          <w:szCs w:val="20"/>
        </w:rPr>
      </w:pPr>
    </w:p>
    <w:p w:rsidR="007C7C35" w:rsidRDefault="007C7C35" w:rsidP="00B55EDB">
      <w:pPr>
        <w:rPr>
          <w:rFonts w:ascii="Arial" w:hAnsi="Arial" w:cs="Arial"/>
          <w:sz w:val="20"/>
          <w:szCs w:val="20"/>
        </w:rPr>
      </w:pPr>
    </w:p>
    <w:p w:rsidR="007C7C35" w:rsidRPr="00B55EDB" w:rsidRDefault="007C7C35" w:rsidP="00B55EDB">
      <w:pPr>
        <w:rPr>
          <w:rFonts w:ascii="Arial" w:hAnsi="Arial" w:cs="Arial"/>
          <w:sz w:val="20"/>
          <w:szCs w:val="20"/>
        </w:rPr>
      </w:pPr>
    </w:p>
    <w:p w:rsidR="00B55EDB" w:rsidRPr="00B55EDB" w:rsidRDefault="00B55EDB" w:rsidP="00B55EDB">
      <w:pPr>
        <w:rPr>
          <w:rFonts w:ascii="Arial" w:hAnsi="Arial" w:cs="Arial"/>
          <w:sz w:val="20"/>
          <w:szCs w:val="20"/>
        </w:rPr>
      </w:pPr>
    </w:p>
    <w:p w:rsidR="00B55EDB" w:rsidRPr="00B55EDB" w:rsidRDefault="00B55EDB" w:rsidP="00B55EDB">
      <w:pPr>
        <w:rPr>
          <w:rFonts w:ascii="Arial" w:hAnsi="Arial" w:cs="Arial"/>
          <w:sz w:val="20"/>
          <w:szCs w:val="20"/>
        </w:rPr>
      </w:pPr>
    </w:p>
    <w:p w:rsidR="00B55EDB" w:rsidRPr="00B55EDB" w:rsidRDefault="00B55EDB" w:rsidP="00B55EDB">
      <w:pPr>
        <w:rPr>
          <w:rFonts w:ascii="Arial" w:hAnsi="Arial" w:cs="Arial"/>
          <w:sz w:val="20"/>
          <w:szCs w:val="20"/>
        </w:rPr>
      </w:pPr>
    </w:p>
    <w:p w:rsidR="00B55EDB" w:rsidRPr="00B55EDB" w:rsidRDefault="00B55EDB" w:rsidP="00B55EDB">
      <w:pPr>
        <w:rPr>
          <w:rFonts w:ascii="Arial" w:hAnsi="Arial" w:cs="Arial"/>
          <w:sz w:val="20"/>
          <w:szCs w:val="20"/>
        </w:rPr>
      </w:pPr>
    </w:p>
    <w:p w:rsidR="00B55EDB" w:rsidRPr="00B55EDB" w:rsidRDefault="00B55EDB" w:rsidP="00B55EDB">
      <w:pPr>
        <w:tabs>
          <w:tab w:val="left" w:pos="4536"/>
          <w:tab w:val="left" w:pos="9356"/>
        </w:tabs>
        <w:spacing w:before="20" w:after="20"/>
        <w:rPr>
          <w:rFonts w:ascii="Arial" w:hAnsi="Arial" w:cs="Arial"/>
          <w:sz w:val="20"/>
          <w:szCs w:val="20"/>
        </w:rPr>
      </w:pPr>
    </w:p>
    <w:p w:rsidR="00B55EDB" w:rsidRPr="00B55EDB" w:rsidRDefault="00B55EDB" w:rsidP="00B55EDB">
      <w:pPr>
        <w:tabs>
          <w:tab w:val="left" w:pos="4536"/>
          <w:tab w:val="left" w:pos="9356"/>
        </w:tabs>
        <w:spacing w:before="20" w:after="20"/>
        <w:rPr>
          <w:rFonts w:ascii="Arial" w:hAnsi="Arial" w:cs="Arial"/>
          <w:sz w:val="20"/>
          <w:szCs w:val="20"/>
        </w:rPr>
      </w:pPr>
    </w:p>
    <w:p w:rsidR="00B55EDB" w:rsidRPr="00B55EDB" w:rsidRDefault="00B55EDB" w:rsidP="00B55EDB">
      <w:pPr>
        <w:ind w:right="-711"/>
        <w:jc w:val="center"/>
        <w:rPr>
          <w:rFonts w:ascii="Arial" w:hAnsi="Arial" w:cs="Arial"/>
          <w:b/>
          <w:i/>
          <w:sz w:val="20"/>
          <w:szCs w:val="20"/>
        </w:rPr>
      </w:pPr>
    </w:p>
    <w:p w:rsidR="00B55EDB" w:rsidRPr="00B55EDB" w:rsidRDefault="00B55EDB" w:rsidP="00B55EDB">
      <w:pPr>
        <w:pStyle w:val="Heading2"/>
        <w:ind w:right="-58"/>
        <w:jc w:val="left"/>
        <w:rPr>
          <w:rFonts w:ascii="Arial" w:hAnsi="Arial" w:cs="Arial"/>
          <w:b w:val="0"/>
          <w:i/>
          <w:sz w:val="20"/>
        </w:rPr>
      </w:pPr>
    </w:p>
    <w:p w:rsidR="00B55EDB" w:rsidRPr="00B55EDB" w:rsidRDefault="00B55EDB" w:rsidP="00B55EDB">
      <w:pPr>
        <w:pStyle w:val="Heading2"/>
        <w:ind w:right="-58"/>
        <w:jc w:val="left"/>
        <w:rPr>
          <w:rFonts w:ascii="Arial" w:hAnsi="Arial" w:cs="Arial"/>
          <w:b w:val="0"/>
          <w:i/>
          <w:sz w:val="20"/>
        </w:rPr>
      </w:pPr>
    </w:p>
    <w:p w:rsidR="00B55EDB" w:rsidRPr="00B55EDB" w:rsidRDefault="00B55EDB" w:rsidP="00B55EDB">
      <w:pPr>
        <w:pStyle w:val="Heading2"/>
        <w:ind w:right="-58"/>
        <w:jc w:val="left"/>
        <w:rPr>
          <w:rFonts w:ascii="Arial" w:hAnsi="Arial" w:cs="Arial"/>
          <w:b w:val="0"/>
          <w:i/>
          <w:sz w:val="20"/>
        </w:rPr>
      </w:pPr>
    </w:p>
    <w:p w:rsidR="00B55EDB" w:rsidRPr="00B55EDB" w:rsidRDefault="00B55EDB" w:rsidP="00B55EDB">
      <w:pPr>
        <w:pStyle w:val="Heading2"/>
        <w:ind w:right="-58"/>
        <w:jc w:val="left"/>
        <w:rPr>
          <w:rFonts w:ascii="Arial" w:hAnsi="Arial" w:cs="Arial"/>
          <w:sz w:val="20"/>
        </w:rPr>
      </w:pPr>
      <w:r w:rsidRPr="00B55EDB">
        <w:rPr>
          <w:rFonts w:ascii="Arial" w:hAnsi="Arial" w:cs="Arial"/>
          <w:noProof/>
          <w:sz w:val="20"/>
          <w:lang w:val="en-IE" w:eastAsia="en-IE"/>
        </w:rPr>
        <w:drawing>
          <wp:inline distT="0" distB="0" distL="0" distR="0" wp14:anchorId="0217FC49" wp14:editId="6D36225B">
            <wp:extent cx="1652905" cy="570230"/>
            <wp:effectExtent l="0" t="0" r="4445" b="1270"/>
            <wp:docPr id="1" name="Picture 1" descr="C:\Users\keoghe\AppData\Local\Temp\wzb1b5\ibec_logos_x_6\ibec_2col_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eoghe\AppData\Local\Temp\wzb1b5\ibec_logos_x_6\ibec_2col_landscap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2905" cy="570230"/>
                    </a:xfrm>
                    <a:prstGeom prst="rect">
                      <a:avLst/>
                    </a:prstGeom>
                    <a:noFill/>
                    <a:ln>
                      <a:noFill/>
                    </a:ln>
                  </pic:spPr>
                </pic:pic>
              </a:graphicData>
            </a:graphic>
          </wp:inline>
        </w:drawing>
      </w:r>
      <w:r w:rsidRPr="00B55EDB">
        <w:rPr>
          <w:rFonts w:ascii="Arial" w:hAnsi="Arial" w:cs="Arial"/>
          <w:b w:val="0"/>
          <w:i/>
          <w:sz w:val="20"/>
        </w:rPr>
        <w:tab/>
      </w:r>
      <w:r w:rsidRPr="00B55EDB">
        <w:rPr>
          <w:rFonts w:ascii="Arial" w:hAnsi="Arial" w:cs="Arial"/>
          <w:b w:val="0"/>
          <w:i/>
          <w:sz w:val="20"/>
        </w:rPr>
        <w:tab/>
      </w:r>
      <w:r w:rsidRPr="00B55EDB">
        <w:rPr>
          <w:rFonts w:ascii="Arial" w:hAnsi="Arial" w:cs="Arial"/>
          <w:b w:val="0"/>
          <w:i/>
          <w:sz w:val="20"/>
        </w:rPr>
        <w:tab/>
      </w:r>
      <w:r w:rsidRPr="00B55EDB">
        <w:rPr>
          <w:rFonts w:ascii="Arial" w:hAnsi="Arial" w:cs="Arial"/>
          <w:b w:val="0"/>
          <w:i/>
          <w:sz w:val="20"/>
        </w:rPr>
        <w:tab/>
      </w:r>
      <w:r w:rsidRPr="00B55EDB">
        <w:rPr>
          <w:rFonts w:ascii="Arial" w:hAnsi="Arial" w:cs="Arial"/>
          <w:b w:val="0"/>
          <w:i/>
          <w:sz w:val="20"/>
        </w:rPr>
        <w:tab/>
      </w:r>
      <w:r w:rsidRPr="00B55EDB">
        <w:rPr>
          <w:rFonts w:ascii="Arial" w:hAnsi="Arial" w:cs="Arial"/>
          <w:b w:val="0"/>
          <w:i/>
          <w:sz w:val="20"/>
        </w:rPr>
        <w:tab/>
      </w:r>
      <w:r w:rsidRPr="00B55EDB">
        <w:rPr>
          <w:rFonts w:ascii="Arial" w:hAnsi="Arial" w:cs="Arial"/>
          <w:b w:val="0"/>
          <w:i/>
          <w:sz w:val="20"/>
        </w:rPr>
        <w:tab/>
        <w:t>RESEARCH UNIT</w:t>
      </w:r>
    </w:p>
    <w:p w:rsidR="00B55EDB" w:rsidRPr="00B55EDB" w:rsidRDefault="00B55EDB" w:rsidP="00B55EDB">
      <w:pPr>
        <w:spacing w:after="0" w:line="240" w:lineRule="auto"/>
        <w:rPr>
          <w:rFonts w:ascii="Arial" w:hAnsi="Arial" w:cs="Arial"/>
          <w:i/>
          <w:sz w:val="20"/>
          <w:szCs w:val="20"/>
        </w:rPr>
        <w:sectPr w:rsidR="00B55EDB" w:rsidRPr="00B55EDB">
          <w:headerReference w:type="default" r:id="rId9"/>
          <w:footerReference w:type="default" r:id="rId10"/>
          <w:headerReference w:type="first" r:id="rId11"/>
          <w:pgSz w:w="11906" w:h="16838"/>
          <w:pgMar w:top="1440" w:right="1440" w:bottom="1440" w:left="1440" w:header="708" w:footer="708" w:gutter="0"/>
          <w:cols w:space="708"/>
          <w:docGrid w:linePitch="360"/>
        </w:sectPr>
      </w:pPr>
    </w:p>
    <w:p w:rsidR="00B55EDB" w:rsidRPr="00B55EDB" w:rsidRDefault="00B55EDB" w:rsidP="00B55EDB">
      <w:pPr>
        <w:spacing w:after="0" w:line="240" w:lineRule="auto"/>
        <w:rPr>
          <w:rFonts w:ascii="Arial" w:hAnsi="Arial" w:cs="Arial"/>
          <w:b/>
          <w:sz w:val="20"/>
          <w:szCs w:val="20"/>
        </w:rPr>
      </w:pPr>
    </w:p>
    <w:p w:rsidR="00B55EDB" w:rsidRPr="00B55EDB" w:rsidRDefault="00B55EDB" w:rsidP="00B55EDB">
      <w:pPr>
        <w:spacing w:after="0" w:line="240" w:lineRule="auto"/>
        <w:rPr>
          <w:rFonts w:ascii="Arial" w:hAnsi="Arial" w:cs="Arial"/>
          <w:b/>
          <w:sz w:val="20"/>
          <w:szCs w:val="20"/>
          <w:u w:val="single"/>
        </w:rPr>
      </w:pPr>
    </w:p>
    <w:p w:rsidR="00B55EDB" w:rsidRDefault="00B55EDB" w:rsidP="00B55EDB">
      <w:pPr>
        <w:pStyle w:val="Heading3"/>
        <w:rPr>
          <w:rFonts w:ascii="Arial" w:hAnsi="Arial" w:cs="Arial"/>
          <w:sz w:val="20"/>
          <w:szCs w:val="20"/>
        </w:rPr>
      </w:pPr>
      <w:r w:rsidRPr="00B55EDB">
        <w:rPr>
          <w:rFonts w:ascii="Arial" w:hAnsi="Arial" w:cs="Arial"/>
          <w:sz w:val="20"/>
          <w:szCs w:val="20"/>
        </w:rPr>
        <w:t>Profile</w:t>
      </w:r>
      <w:r w:rsidR="0086333D">
        <w:rPr>
          <w:rFonts w:ascii="Arial" w:hAnsi="Arial" w:cs="Arial"/>
          <w:sz w:val="20"/>
          <w:szCs w:val="20"/>
        </w:rPr>
        <w:t xml:space="preserve"> of Respondents</w:t>
      </w:r>
    </w:p>
    <w:p w:rsidR="00B55EDB" w:rsidRDefault="00B55EDB" w:rsidP="00B55EDB">
      <w:pPr>
        <w:spacing w:after="0" w:line="240" w:lineRule="auto"/>
        <w:rPr>
          <w:rFonts w:ascii="Arial" w:hAnsi="Arial" w:cs="Arial"/>
          <w:sz w:val="20"/>
          <w:szCs w:val="20"/>
        </w:rPr>
      </w:pPr>
    </w:p>
    <w:p w:rsidR="00B55EDB" w:rsidRPr="00B55EDB" w:rsidRDefault="00B55EDB" w:rsidP="00B55EDB">
      <w:pPr>
        <w:spacing w:after="0" w:line="240" w:lineRule="auto"/>
        <w:rPr>
          <w:rFonts w:ascii="Arial" w:hAnsi="Arial" w:cs="Arial"/>
          <w:sz w:val="20"/>
          <w:szCs w:val="20"/>
        </w:rPr>
      </w:pPr>
      <w:r w:rsidRPr="00B55EDB">
        <w:rPr>
          <w:rFonts w:ascii="Arial" w:hAnsi="Arial" w:cs="Arial"/>
          <w:sz w:val="20"/>
          <w:szCs w:val="20"/>
        </w:rPr>
        <w:t>A total of 456 companies responded to the survey. Profile details are as follows:</w:t>
      </w:r>
    </w:p>
    <w:p w:rsidR="00B55EDB" w:rsidRPr="00B55EDB" w:rsidRDefault="00B55EDB" w:rsidP="00B55EDB">
      <w:pPr>
        <w:spacing w:after="0" w:line="240" w:lineRule="auto"/>
        <w:rPr>
          <w:rFonts w:ascii="Arial" w:hAnsi="Arial" w:cs="Arial"/>
          <w:sz w:val="20"/>
          <w:szCs w:val="20"/>
        </w:rPr>
      </w:pPr>
    </w:p>
    <w:p w:rsidR="00B55EDB" w:rsidRPr="00B55EDB" w:rsidRDefault="00B55EDB" w:rsidP="00B55EDB">
      <w:pPr>
        <w:pStyle w:val="ListParagraph"/>
        <w:numPr>
          <w:ilvl w:val="0"/>
          <w:numId w:val="1"/>
        </w:numPr>
        <w:spacing w:after="0" w:line="240" w:lineRule="auto"/>
        <w:rPr>
          <w:rFonts w:ascii="Arial" w:hAnsi="Arial" w:cs="Arial"/>
          <w:sz w:val="20"/>
          <w:szCs w:val="20"/>
        </w:rPr>
      </w:pPr>
      <w:r w:rsidRPr="00B55EDB">
        <w:rPr>
          <w:rFonts w:ascii="Arial" w:hAnsi="Arial" w:cs="Arial"/>
          <w:sz w:val="20"/>
          <w:szCs w:val="20"/>
        </w:rPr>
        <w:t xml:space="preserve">Almost half the respondents (49%) were in the services sector. The classification of other services, which is used as a ‘catch-all’ category for a wide variety of service activities, accounted for the majority of the services companies in the survey. </w:t>
      </w:r>
    </w:p>
    <w:p w:rsidR="00B55EDB" w:rsidRPr="00B55EDB" w:rsidRDefault="00B55EDB" w:rsidP="00B55EDB">
      <w:pPr>
        <w:pStyle w:val="ListParagraph"/>
        <w:numPr>
          <w:ilvl w:val="0"/>
          <w:numId w:val="1"/>
        </w:numPr>
        <w:spacing w:after="0" w:line="240" w:lineRule="auto"/>
        <w:rPr>
          <w:rFonts w:ascii="Arial" w:hAnsi="Arial" w:cs="Arial"/>
          <w:sz w:val="20"/>
          <w:szCs w:val="20"/>
        </w:rPr>
      </w:pPr>
      <w:r w:rsidRPr="00B55EDB">
        <w:rPr>
          <w:rFonts w:ascii="Arial" w:hAnsi="Arial" w:cs="Arial"/>
          <w:sz w:val="20"/>
          <w:szCs w:val="20"/>
        </w:rPr>
        <w:t xml:space="preserve">While there were respondents from all regions of the country, over half (53%) were from Dublin, while 9% were based in the West. </w:t>
      </w:r>
    </w:p>
    <w:p w:rsidR="00B55EDB" w:rsidRPr="00B55EDB" w:rsidRDefault="00B55EDB" w:rsidP="00B55EDB">
      <w:pPr>
        <w:pStyle w:val="ListParagraph"/>
        <w:numPr>
          <w:ilvl w:val="0"/>
          <w:numId w:val="1"/>
        </w:numPr>
        <w:spacing w:after="0" w:line="240" w:lineRule="auto"/>
        <w:rPr>
          <w:rFonts w:ascii="Arial" w:hAnsi="Arial" w:cs="Arial"/>
          <w:sz w:val="20"/>
          <w:szCs w:val="20"/>
        </w:rPr>
      </w:pPr>
      <w:r w:rsidRPr="00B55EDB">
        <w:rPr>
          <w:rFonts w:ascii="Arial" w:hAnsi="Arial" w:cs="Arial"/>
          <w:sz w:val="20"/>
          <w:szCs w:val="20"/>
        </w:rPr>
        <w:t>Companies with fewer than 50 employees accounted for over half of the respondents (57%).</w:t>
      </w:r>
    </w:p>
    <w:p w:rsidR="0086333D" w:rsidRPr="0086333D" w:rsidRDefault="00B55EDB" w:rsidP="0086333D">
      <w:pPr>
        <w:pStyle w:val="ListParagraph"/>
        <w:numPr>
          <w:ilvl w:val="0"/>
          <w:numId w:val="1"/>
        </w:numPr>
        <w:spacing w:after="0" w:line="240" w:lineRule="auto"/>
        <w:rPr>
          <w:rFonts w:ascii="Arial" w:hAnsi="Arial" w:cs="Arial"/>
          <w:sz w:val="20"/>
          <w:szCs w:val="20"/>
        </w:rPr>
      </w:pPr>
      <w:r w:rsidRPr="00B55EDB">
        <w:rPr>
          <w:rFonts w:ascii="Arial" w:hAnsi="Arial" w:cs="Arial"/>
          <w:sz w:val="20"/>
          <w:szCs w:val="20"/>
        </w:rPr>
        <w:t>Over half of the respondents (56%) were exporting companies, while two thirds, (66%) were Irish-owned.</w:t>
      </w:r>
    </w:p>
    <w:p w:rsidR="00B55EDB" w:rsidRDefault="00B55EDB" w:rsidP="00B55EDB">
      <w:pPr>
        <w:spacing w:after="0" w:line="240" w:lineRule="auto"/>
        <w:rPr>
          <w:rFonts w:ascii="Arial" w:hAnsi="Arial" w:cs="Arial"/>
          <w:b/>
          <w:sz w:val="20"/>
          <w:szCs w:val="20"/>
          <w:u w:val="single"/>
        </w:rPr>
      </w:pPr>
    </w:p>
    <w:p w:rsidR="00B55EDB" w:rsidRPr="00B55EDB" w:rsidRDefault="0086333D" w:rsidP="0086333D">
      <w:pPr>
        <w:pStyle w:val="Heading3"/>
      </w:pPr>
      <w:r w:rsidRPr="0086333D">
        <w:rPr>
          <w:rFonts w:ascii="Arial" w:hAnsi="Arial" w:cs="Arial"/>
          <w:sz w:val="20"/>
          <w:szCs w:val="20"/>
        </w:rPr>
        <w:t>Possible I</w:t>
      </w:r>
      <w:r w:rsidR="00B55EDB" w:rsidRPr="0086333D">
        <w:rPr>
          <w:rFonts w:ascii="Arial" w:hAnsi="Arial" w:cs="Arial"/>
          <w:sz w:val="20"/>
          <w:szCs w:val="20"/>
        </w:rPr>
        <w:t xml:space="preserve">mpacts of </w:t>
      </w:r>
      <w:proofErr w:type="spellStart"/>
      <w:r w:rsidR="00B55EDB" w:rsidRPr="0086333D">
        <w:rPr>
          <w:rFonts w:ascii="Arial" w:hAnsi="Arial" w:cs="Arial"/>
          <w:sz w:val="20"/>
          <w:szCs w:val="20"/>
        </w:rPr>
        <w:t>Brexit</w:t>
      </w:r>
      <w:proofErr w:type="spellEnd"/>
    </w:p>
    <w:p w:rsidR="00B55EDB" w:rsidRPr="00B55EDB" w:rsidRDefault="00B55EDB" w:rsidP="00B55EDB">
      <w:pPr>
        <w:spacing w:after="0" w:line="240" w:lineRule="auto"/>
        <w:rPr>
          <w:rFonts w:ascii="Arial" w:hAnsi="Arial" w:cs="Arial"/>
          <w:sz w:val="20"/>
          <w:szCs w:val="20"/>
        </w:rPr>
      </w:pPr>
      <w:r w:rsidRPr="00B55EDB">
        <w:rPr>
          <w:rFonts w:ascii="Arial" w:hAnsi="Arial" w:cs="Arial"/>
          <w:sz w:val="20"/>
          <w:szCs w:val="20"/>
        </w:rPr>
        <w:t xml:space="preserve">The largest negative impacts for respondent companies were expected around exchange rate </w:t>
      </w:r>
      <w:proofErr w:type="gramStart"/>
      <w:r w:rsidRPr="00B55EDB">
        <w:rPr>
          <w:rFonts w:ascii="Arial" w:hAnsi="Arial" w:cs="Arial"/>
          <w:sz w:val="20"/>
          <w:szCs w:val="20"/>
        </w:rPr>
        <w:t>movements</w:t>
      </w:r>
      <w:proofErr w:type="gramEnd"/>
      <w:r>
        <w:rPr>
          <w:rFonts w:ascii="Arial" w:hAnsi="Arial" w:cs="Arial"/>
          <w:sz w:val="20"/>
          <w:szCs w:val="20"/>
        </w:rPr>
        <w:t xml:space="preserve">, where </w:t>
      </w:r>
      <w:r w:rsidRPr="00B55EDB">
        <w:rPr>
          <w:rFonts w:ascii="Arial" w:hAnsi="Arial" w:cs="Arial"/>
          <w:sz w:val="20"/>
          <w:szCs w:val="20"/>
        </w:rPr>
        <w:t xml:space="preserve">45% </w:t>
      </w:r>
      <w:r>
        <w:rPr>
          <w:rFonts w:ascii="Arial" w:hAnsi="Arial" w:cs="Arial"/>
          <w:sz w:val="20"/>
          <w:szCs w:val="20"/>
        </w:rPr>
        <w:t>of respondents expected a negative impact on their business. Negative impacts relating to c</w:t>
      </w:r>
      <w:r w:rsidRPr="00B55EDB">
        <w:rPr>
          <w:rFonts w:ascii="Arial" w:hAnsi="Arial" w:cs="Arial"/>
          <w:sz w:val="20"/>
          <w:szCs w:val="20"/>
        </w:rPr>
        <w:t>ompetition from NI/GB companies</w:t>
      </w:r>
      <w:r>
        <w:rPr>
          <w:rFonts w:ascii="Arial" w:hAnsi="Arial" w:cs="Arial"/>
          <w:sz w:val="20"/>
          <w:szCs w:val="20"/>
        </w:rPr>
        <w:t>, and to the cost of exporting to NI/</w:t>
      </w:r>
      <w:proofErr w:type="gramStart"/>
      <w:r>
        <w:rPr>
          <w:rFonts w:ascii="Arial" w:hAnsi="Arial" w:cs="Arial"/>
          <w:sz w:val="20"/>
          <w:szCs w:val="20"/>
        </w:rPr>
        <w:t>GB  was</w:t>
      </w:r>
      <w:proofErr w:type="gramEnd"/>
      <w:r>
        <w:rPr>
          <w:rFonts w:ascii="Arial" w:hAnsi="Arial" w:cs="Arial"/>
          <w:sz w:val="20"/>
          <w:szCs w:val="20"/>
        </w:rPr>
        <w:t xml:space="preserve"> expected in one-third of respondent companies.</w:t>
      </w:r>
      <w:r w:rsidRPr="00B55EDB">
        <w:rPr>
          <w:rFonts w:ascii="Arial" w:hAnsi="Arial" w:cs="Arial"/>
          <w:sz w:val="20"/>
          <w:szCs w:val="20"/>
        </w:rPr>
        <w:t xml:space="preserve"> </w:t>
      </w:r>
      <w:r w:rsidR="0086333D">
        <w:rPr>
          <w:rFonts w:ascii="Arial" w:hAnsi="Arial" w:cs="Arial"/>
          <w:sz w:val="20"/>
          <w:szCs w:val="20"/>
        </w:rPr>
        <w:t>Other main negative impacts</w:t>
      </w:r>
      <w:r>
        <w:rPr>
          <w:rFonts w:ascii="Arial" w:hAnsi="Arial" w:cs="Arial"/>
          <w:sz w:val="20"/>
          <w:szCs w:val="20"/>
        </w:rPr>
        <w:t xml:space="preserve"> of </w:t>
      </w:r>
      <w:proofErr w:type="spellStart"/>
      <w:r>
        <w:rPr>
          <w:rFonts w:ascii="Arial" w:hAnsi="Arial" w:cs="Arial"/>
          <w:sz w:val="20"/>
          <w:szCs w:val="20"/>
        </w:rPr>
        <w:t>Brexit</w:t>
      </w:r>
      <w:proofErr w:type="spellEnd"/>
      <w:r>
        <w:rPr>
          <w:rFonts w:ascii="Arial" w:hAnsi="Arial" w:cs="Arial"/>
          <w:sz w:val="20"/>
          <w:szCs w:val="20"/>
        </w:rPr>
        <w:t xml:space="preserve"> expected by </w:t>
      </w:r>
      <w:proofErr w:type="gramStart"/>
      <w:r>
        <w:rPr>
          <w:rFonts w:ascii="Arial" w:hAnsi="Arial" w:cs="Arial"/>
          <w:sz w:val="20"/>
          <w:szCs w:val="20"/>
        </w:rPr>
        <w:t>respondent</w:t>
      </w:r>
      <w:proofErr w:type="gramEnd"/>
      <w:r>
        <w:rPr>
          <w:rFonts w:ascii="Arial" w:hAnsi="Arial" w:cs="Arial"/>
          <w:sz w:val="20"/>
          <w:szCs w:val="20"/>
        </w:rPr>
        <w:t xml:space="preserve"> companies were in relation to p</w:t>
      </w:r>
      <w:r w:rsidRPr="00B55EDB">
        <w:rPr>
          <w:rFonts w:ascii="Arial" w:hAnsi="Arial" w:cs="Arial"/>
          <w:sz w:val="20"/>
          <w:szCs w:val="20"/>
        </w:rPr>
        <w:t xml:space="preserve">ricing (31%), </w:t>
      </w:r>
      <w:r>
        <w:rPr>
          <w:rFonts w:ascii="Arial" w:hAnsi="Arial" w:cs="Arial"/>
          <w:sz w:val="20"/>
          <w:szCs w:val="20"/>
        </w:rPr>
        <w:t xml:space="preserve">the </w:t>
      </w:r>
      <w:r w:rsidRPr="00B55EDB">
        <w:rPr>
          <w:rFonts w:ascii="Arial" w:hAnsi="Arial" w:cs="Arial"/>
          <w:sz w:val="20"/>
          <w:szCs w:val="20"/>
        </w:rPr>
        <w:t xml:space="preserve">value of export sales (26%) and volume of export sales (25%). </w:t>
      </w:r>
    </w:p>
    <w:p w:rsidR="00B55EDB" w:rsidRPr="00B55EDB" w:rsidRDefault="00B55EDB" w:rsidP="00B55EDB">
      <w:pPr>
        <w:spacing w:after="0" w:line="240" w:lineRule="auto"/>
        <w:rPr>
          <w:rFonts w:ascii="Arial" w:hAnsi="Arial" w:cs="Arial"/>
          <w:sz w:val="20"/>
          <w:szCs w:val="20"/>
        </w:rPr>
      </w:pPr>
    </w:p>
    <w:p w:rsidR="00B55EDB" w:rsidRPr="00B55EDB" w:rsidRDefault="00B55EDB" w:rsidP="00B55EDB">
      <w:pPr>
        <w:spacing w:after="0" w:line="240" w:lineRule="auto"/>
        <w:rPr>
          <w:rFonts w:ascii="Arial" w:hAnsi="Arial" w:cs="Arial"/>
          <w:sz w:val="20"/>
          <w:szCs w:val="20"/>
        </w:rPr>
      </w:pPr>
      <w:r w:rsidRPr="00B55EDB">
        <w:rPr>
          <w:rFonts w:ascii="Arial" w:hAnsi="Arial" w:cs="Arial"/>
          <w:sz w:val="20"/>
          <w:szCs w:val="20"/>
        </w:rPr>
        <w:t xml:space="preserve">Exporting companies were more highly exposed on UK markets, with over half of the exporting companies in the survey (52%) expecting a negative impact on exchange rates as a result of </w:t>
      </w:r>
      <w:proofErr w:type="spellStart"/>
      <w:r w:rsidRPr="00B55EDB">
        <w:rPr>
          <w:rFonts w:ascii="Arial" w:hAnsi="Arial" w:cs="Arial"/>
          <w:sz w:val="20"/>
          <w:szCs w:val="20"/>
        </w:rPr>
        <w:t>Brexit</w:t>
      </w:r>
      <w:proofErr w:type="spellEnd"/>
      <w:r w:rsidRPr="00B55EDB">
        <w:rPr>
          <w:rFonts w:ascii="Arial" w:hAnsi="Arial" w:cs="Arial"/>
          <w:sz w:val="20"/>
          <w:szCs w:val="20"/>
        </w:rPr>
        <w:t>. Other market related measures were similar, 47% of exporters expected a negative impact on the cost of exporting to NI/GB, and 39% expected negative effects as a result of competition from NI/GB.</w:t>
      </w:r>
    </w:p>
    <w:p w:rsidR="00B55EDB" w:rsidRPr="00B55EDB" w:rsidRDefault="00B55EDB" w:rsidP="00B55EDB">
      <w:pPr>
        <w:spacing w:after="0" w:line="240" w:lineRule="auto"/>
        <w:rPr>
          <w:rFonts w:ascii="Arial" w:hAnsi="Arial" w:cs="Arial"/>
          <w:sz w:val="20"/>
          <w:szCs w:val="20"/>
        </w:rPr>
      </w:pPr>
    </w:p>
    <w:p w:rsidR="00B55EDB" w:rsidRPr="00B55EDB" w:rsidRDefault="00B55EDB" w:rsidP="00B55EDB">
      <w:pPr>
        <w:spacing w:after="0" w:line="240" w:lineRule="auto"/>
        <w:rPr>
          <w:rFonts w:ascii="Arial" w:hAnsi="Arial" w:cs="Arial"/>
          <w:sz w:val="20"/>
          <w:szCs w:val="20"/>
        </w:rPr>
      </w:pPr>
      <w:r w:rsidRPr="00B55EDB">
        <w:rPr>
          <w:rFonts w:ascii="Arial" w:hAnsi="Arial" w:cs="Arial"/>
          <w:sz w:val="20"/>
          <w:szCs w:val="20"/>
        </w:rPr>
        <w:t xml:space="preserve">Few companies expected a positive impact on their business under any of the headings, fewer than one in ten in all cases, with the exception of the ability to win inbound investment projects (13%). While overall the expected impact on exchange rates was negative in 54%, in one in ten companies exchange rate movements were seen as potentially having a positive impact on the individual businesses. </w:t>
      </w:r>
    </w:p>
    <w:p w:rsidR="00B55EDB" w:rsidRDefault="00B55EDB" w:rsidP="00B55EDB">
      <w:pPr>
        <w:spacing w:after="0" w:line="240" w:lineRule="auto"/>
        <w:rPr>
          <w:rFonts w:ascii="Arial" w:hAnsi="Arial" w:cs="Arial"/>
          <w:sz w:val="20"/>
          <w:szCs w:val="20"/>
        </w:rPr>
      </w:pPr>
    </w:p>
    <w:p w:rsidR="0086333D" w:rsidRPr="0086333D" w:rsidRDefault="0086333D" w:rsidP="0086333D">
      <w:pPr>
        <w:spacing w:after="0" w:line="240" w:lineRule="auto"/>
        <w:rPr>
          <w:rFonts w:ascii="Arial" w:hAnsi="Arial" w:cs="Arial"/>
          <w:b/>
          <w:sz w:val="20"/>
          <w:szCs w:val="20"/>
        </w:rPr>
      </w:pPr>
      <w:r w:rsidRPr="0086333D">
        <w:rPr>
          <w:rFonts w:ascii="Arial" w:hAnsi="Arial" w:cs="Arial"/>
          <w:b/>
          <w:sz w:val="20"/>
          <w:szCs w:val="20"/>
        </w:rPr>
        <w:t xml:space="preserve">Table </w:t>
      </w:r>
      <w:r w:rsidRPr="0086333D">
        <w:rPr>
          <w:rFonts w:ascii="Arial" w:hAnsi="Arial" w:cs="Arial"/>
          <w:b/>
          <w:sz w:val="20"/>
          <w:szCs w:val="20"/>
        </w:rPr>
        <w:t>1</w:t>
      </w:r>
      <w:r w:rsidRPr="0086333D">
        <w:rPr>
          <w:rFonts w:ascii="Arial" w:hAnsi="Arial" w:cs="Arial"/>
          <w:b/>
          <w:sz w:val="20"/>
          <w:szCs w:val="20"/>
        </w:rPr>
        <w:t xml:space="preserve">: Possible negative impacts of </w:t>
      </w:r>
      <w:proofErr w:type="spellStart"/>
      <w:r w:rsidRPr="0086333D">
        <w:rPr>
          <w:rFonts w:ascii="Arial" w:hAnsi="Arial" w:cs="Arial"/>
          <w:b/>
          <w:sz w:val="20"/>
          <w:szCs w:val="20"/>
        </w:rPr>
        <w:t>Brexit</w:t>
      </w:r>
      <w:proofErr w:type="spellEnd"/>
    </w:p>
    <w:tbl>
      <w:tblPr>
        <w:tblStyle w:val="LightList-Accent5"/>
        <w:tblW w:w="9464" w:type="dxa"/>
        <w:tblLook w:val="04A0" w:firstRow="1" w:lastRow="0" w:firstColumn="1" w:lastColumn="0" w:noHBand="0" w:noVBand="1"/>
      </w:tblPr>
      <w:tblGrid>
        <w:gridCol w:w="3496"/>
        <w:gridCol w:w="1989"/>
        <w:gridCol w:w="1989"/>
        <w:gridCol w:w="1990"/>
      </w:tblGrid>
      <w:tr w:rsidR="0086333D" w:rsidRPr="00377844" w:rsidTr="00034C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Item heading</w:t>
            </w:r>
          </w:p>
        </w:tc>
        <w:tc>
          <w:tcPr>
            <w:tcW w:w="1989" w:type="dxa"/>
          </w:tcPr>
          <w:p w:rsidR="0086333D" w:rsidRPr="0086333D" w:rsidRDefault="0086333D" w:rsidP="008D451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 negative impacts</w:t>
            </w:r>
          </w:p>
          <w:p w:rsidR="0086333D" w:rsidRPr="0086333D" w:rsidRDefault="0086333D" w:rsidP="008D451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(N=456)</w:t>
            </w:r>
          </w:p>
        </w:tc>
        <w:tc>
          <w:tcPr>
            <w:tcW w:w="1989" w:type="dxa"/>
          </w:tcPr>
          <w:p w:rsidR="0086333D" w:rsidRPr="0086333D" w:rsidRDefault="0086333D" w:rsidP="008D451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 exporters negative</w:t>
            </w:r>
          </w:p>
          <w:p w:rsidR="0086333D" w:rsidRPr="0086333D" w:rsidRDefault="0086333D" w:rsidP="008D451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(N=254)</w:t>
            </w:r>
          </w:p>
        </w:tc>
        <w:tc>
          <w:tcPr>
            <w:tcW w:w="1990" w:type="dxa"/>
          </w:tcPr>
          <w:p w:rsidR="0086333D" w:rsidRPr="0086333D" w:rsidRDefault="0086333D" w:rsidP="008D451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 non-exporters negative</w:t>
            </w:r>
          </w:p>
          <w:p w:rsidR="0086333D" w:rsidRPr="0086333D" w:rsidRDefault="0086333D" w:rsidP="008D451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(N=202)</w:t>
            </w:r>
          </w:p>
        </w:tc>
      </w:tr>
      <w:tr w:rsidR="0086333D" w:rsidRPr="003778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Exchange rate movements</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45</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52</w:t>
            </w:r>
          </w:p>
        </w:tc>
        <w:tc>
          <w:tcPr>
            <w:tcW w:w="1990"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37</w:t>
            </w:r>
          </w:p>
        </w:tc>
      </w:tr>
      <w:tr w:rsidR="0086333D" w:rsidRPr="00377844" w:rsidTr="00034C0C">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Cost of exporting to NI/GB</w:t>
            </w:r>
          </w:p>
        </w:tc>
        <w:tc>
          <w:tcPr>
            <w:tcW w:w="1989"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33</w:t>
            </w:r>
          </w:p>
        </w:tc>
        <w:tc>
          <w:tcPr>
            <w:tcW w:w="1989"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47</w:t>
            </w:r>
          </w:p>
        </w:tc>
        <w:tc>
          <w:tcPr>
            <w:tcW w:w="1990"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15</w:t>
            </w:r>
          </w:p>
        </w:tc>
      </w:tr>
      <w:tr w:rsidR="0086333D" w:rsidRPr="003778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Competition from NI/GB</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33</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39</w:t>
            </w:r>
          </w:p>
        </w:tc>
        <w:tc>
          <w:tcPr>
            <w:tcW w:w="1990"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25</w:t>
            </w:r>
          </w:p>
        </w:tc>
      </w:tr>
      <w:tr w:rsidR="0086333D" w:rsidRPr="00377844" w:rsidTr="00034C0C">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Pricing</w:t>
            </w:r>
          </w:p>
        </w:tc>
        <w:tc>
          <w:tcPr>
            <w:tcW w:w="1989"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31</w:t>
            </w:r>
          </w:p>
        </w:tc>
        <w:tc>
          <w:tcPr>
            <w:tcW w:w="1989"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37</w:t>
            </w:r>
          </w:p>
        </w:tc>
        <w:tc>
          <w:tcPr>
            <w:tcW w:w="1990"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23</w:t>
            </w:r>
          </w:p>
        </w:tc>
      </w:tr>
      <w:tr w:rsidR="0086333D" w:rsidRPr="003778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Value of export sales</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26</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41</w:t>
            </w:r>
          </w:p>
        </w:tc>
        <w:tc>
          <w:tcPr>
            <w:tcW w:w="1990"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7</w:t>
            </w:r>
          </w:p>
        </w:tc>
      </w:tr>
      <w:tr w:rsidR="0086333D" w:rsidRPr="00377844" w:rsidTr="00034C0C">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Volume of export sales</w:t>
            </w:r>
          </w:p>
        </w:tc>
        <w:tc>
          <w:tcPr>
            <w:tcW w:w="1989"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25</w:t>
            </w:r>
          </w:p>
        </w:tc>
        <w:tc>
          <w:tcPr>
            <w:tcW w:w="1989"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39</w:t>
            </w:r>
          </w:p>
        </w:tc>
        <w:tc>
          <w:tcPr>
            <w:tcW w:w="1990"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7</w:t>
            </w:r>
          </w:p>
        </w:tc>
      </w:tr>
      <w:tr w:rsidR="0086333D" w:rsidRPr="003778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Value of domestic sales</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19</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16</w:t>
            </w:r>
          </w:p>
        </w:tc>
        <w:tc>
          <w:tcPr>
            <w:tcW w:w="1990"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23</w:t>
            </w:r>
          </w:p>
        </w:tc>
      </w:tr>
      <w:tr w:rsidR="0086333D" w:rsidRPr="00377844" w:rsidTr="00034C0C">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Volume of domestic sales</w:t>
            </w:r>
          </w:p>
        </w:tc>
        <w:tc>
          <w:tcPr>
            <w:tcW w:w="1989"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18</w:t>
            </w:r>
          </w:p>
        </w:tc>
        <w:tc>
          <w:tcPr>
            <w:tcW w:w="1989"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15</w:t>
            </w:r>
          </w:p>
        </w:tc>
        <w:tc>
          <w:tcPr>
            <w:tcW w:w="1990"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22</w:t>
            </w:r>
          </w:p>
        </w:tc>
      </w:tr>
      <w:tr w:rsidR="0086333D" w:rsidRPr="003778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Recruitment</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14</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16</w:t>
            </w:r>
          </w:p>
        </w:tc>
        <w:tc>
          <w:tcPr>
            <w:tcW w:w="1990"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11</w:t>
            </w:r>
          </w:p>
        </w:tc>
      </w:tr>
      <w:tr w:rsidR="0086333D" w:rsidRPr="00377844" w:rsidTr="00034C0C">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Ability to win new inbound investment</w:t>
            </w:r>
          </w:p>
        </w:tc>
        <w:tc>
          <w:tcPr>
            <w:tcW w:w="1989"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12</w:t>
            </w:r>
          </w:p>
        </w:tc>
        <w:tc>
          <w:tcPr>
            <w:tcW w:w="1989"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14</w:t>
            </w:r>
          </w:p>
        </w:tc>
        <w:tc>
          <w:tcPr>
            <w:tcW w:w="1990"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9</w:t>
            </w:r>
          </w:p>
        </w:tc>
      </w:tr>
      <w:tr w:rsidR="0086333D" w:rsidRPr="003778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Change in geographical location of business</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9</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14</w:t>
            </w:r>
          </w:p>
        </w:tc>
        <w:tc>
          <w:tcPr>
            <w:tcW w:w="1990"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4</w:t>
            </w:r>
          </w:p>
        </w:tc>
      </w:tr>
      <w:tr w:rsidR="0086333D" w:rsidRPr="00377844" w:rsidTr="00034C0C">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Retention of staff</w:t>
            </w:r>
          </w:p>
        </w:tc>
        <w:tc>
          <w:tcPr>
            <w:tcW w:w="1989"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8</w:t>
            </w:r>
          </w:p>
        </w:tc>
        <w:tc>
          <w:tcPr>
            <w:tcW w:w="1989"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9</w:t>
            </w:r>
          </w:p>
        </w:tc>
        <w:tc>
          <w:tcPr>
            <w:tcW w:w="1990" w:type="dxa"/>
          </w:tcPr>
          <w:p w:rsidR="0086333D" w:rsidRPr="0086333D" w:rsidRDefault="0086333D" w:rsidP="008D45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6333D">
              <w:rPr>
                <w:rFonts w:ascii="Arial" w:hAnsi="Arial" w:cs="Arial"/>
                <w:sz w:val="20"/>
                <w:szCs w:val="20"/>
              </w:rPr>
              <w:t>7</w:t>
            </w:r>
          </w:p>
        </w:tc>
      </w:tr>
      <w:tr w:rsidR="0086333D" w:rsidRPr="003778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6" w:type="dxa"/>
          </w:tcPr>
          <w:p w:rsidR="0086333D" w:rsidRPr="0086333D" w:rsidRDefault="0086333D" w:rsidP="008D4519">
            <w:pPr>
              <w:rPr>
                <w:rFonts w:ascii="Arial" w:hAnsi="Arial" w:cs="Arial"/>
                <w:sz w:val="20"/>
                <w:szCs w:val="20"/>
              </w:rPr>
            </w:pPr>
            <w:r w:rsidRPr="0086333D">
              <w:rPr>
                <w:rFonts w:ascii="Arial" w:hAnsi="Arial" w:cs="Arial"/>
                <w:sz w:val="20"/>
                <w:szCs w:val="20"/>
              </w:rPr>
              <w:t>Reduced wage pressures</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8</w:t>
            </w:r>
          </w:p>
        </w:tc>
        <w:tc>
          <w:tcPr>
            <w:tcW w:w="1989"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9</w:t>
            </w:r>
          </w:p>
        </w:tc>
        <w:tc>
          <w:tcPr>
            <w:tcW w:w="1990" w:type="dxa"/>
          </w:tcPr>
          <w:p w:rsidR="0086333D" w:rsidRPr="0086333D" w:rsidRDefault="0086333D" w:rsidP="008D45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6333D">
              <w:rPr>
                <w:rFonts w:ascii="Arial" w:hAnsi="Arial" w:cs="Arial"/>
                <w:sz w:val="20"/>
                <w:szCs w:val="20"/>
              </w:rPr>
              <w:t>7</w:t>
            </w:r>
          </w:p>
        </w:tc>
      </w:tr>
    </w:tbl>
    <w:p w:rsidR="0086333D" w:rsidRPr="00B55EDB" w:rsidRDefault="0086333D" w:rsidP="00B55EDB">
      <w:pPr>
        <w:spacing w:after="0" w:line="240" w:lineRule="auto"/>
        <w:rPr>
          <w:rFonts w:ascii="Arial" w:hAnsi="Arial" w:cs="Arial"/>
          <w:sz w:val="20"/>
          <w:szCs w:val="20"/>
        </w:rPr>
      </w:pPr>
    </w:p>
    <w:p w:rsidR="0086333D" w:rsidRDefault="0086333D" w:rsidP="00B55EDB">
      <w:pPr>
        <w:pStyle w:val="Heading3"/>
        <w:rPr>
          <w:rFonts w:ascii="Arial" w:hAnsi="Arial" w:cs="Arial"/>
          <w:sz w:val="20"/>
          <w:szCs w:val="20"/>
        </w:rPr>
      </w:pPr>
    </w:p>
    <w:p w:rsidR="00B55EDB" w:rsidRPr="0086333D" w:rsidRDefault="00B55EDB" w:rsidP="00B55EDB">
      <w:pPr>
        <w:pStyle w:val="Heading3"/>
        <w:rPr>
          <w:rFonts w:ascii="Arial" w:hAnsi="Arial" w:cs="Arial"/>
          <w:sz w:val="20"/>
          <w:szCs w:val="20"/>
        </w:rPr>
      </w:pPr>
      <w:r w:rsidRPr="0086333D">
        <w:rPr>
          <w:rFonts w:ascii="Arial" w:hAnsi="Arial" w:cs="Arial"/>
          <w:sz w:val="20"/>
          <w:szCs w:val="20"/>
        </w:rPr>
        <w:t xml:space="preserve">Main </w:t>
      </w:r>
      <w:r w:rsidR="00034C0C">
        <w:rPr>
          <w:rFonts w:ascii="Arial" w:hAnsi="Arial" w:cs="Arial"/>
          <w:sz w:val="20"/>
          <w:szCs w:val="20"/>
        </w:rPr>
        <w:t>C</w:t>
      </w:r>
      <w:r w:rsidRPr="0086333D">
        <w:rPr>
          <w:rFonts w:ascii="Arial" w:hAnsi="Arial" w:cs="Arial"/>
          <w:sz w:val="20"/>
          <w:szCs w:val="20"/>
        </w:rPr>
        <w:t xml:space="preserve">hallenges posed by </w:t>
      </w:r>
      <w:proofErr w:type="spellStart"/>
      <w:r w:rsidRPr="0086333D">
        <w:rPr>
          <w:rFonts w:ascii="Arial" w:hAnsi="Arial" w:cs="Arial"/>
          <w:sz w:val="20"/>
          <w:szCs w:val="20"/>
        </w:rPr>
        <w:t>Brexit</w:t>
      </w:r>
      <w:proofErr w:type="spellEnd"/>
      <w:r w:rsidRPr="0086333D">
        <w:rPr>
          <w:rFonts w:ascii="Arial" w:hAnsi="Arial" w:cs="Arial"/>
          <w:sz w:val="20"/>
          <w:szCs w:val="20"/>
        </w:rPr>
        <w:t xml:space="preserve"> for Irish Business</w:t>
      </w:r>
    </w:p>
    <w:p w:rsidR="00B55EDB" w:rsidRPr="00B55EDB" w:rsidRDefault="00B55EDB" w:rsidP="00B55EDB">
      <w:pPr>
        <w:spacing w:after="0" w:line="240" w:lineRule="auto"/>
        <w:rPr>
          <w:rFonts w:ascii="Arial" w:hAnsi="Arial" w:cs="Arial"/>
          <w:sz w:val="20"/>
          <w:szCs w:val="20"/>
        </w:rPr>
      </w:pPr>
      <w:r w:rsidRPr="00B55EDB">
        <w:rPr>
          <w:rFonts w:ascii="Arial" w:hAnsi="Arial" w:cs="Arial"/>
          <w:sz w:val="20"/>
          <w:szCs w:val="20"/>
        </w:rPr>
        <w:t xml:space="preserve">Exchange rate volatility </w:t>
      </w:r>
      <w:r w:rsidR="00FD1F44">
        <w:rPr>
          <w:rFonts w:ascii="Arial" w:hAnsi="Arial" w:cs="Arial"/>
          <w:sz w:val="20"/>
          <w:szCs w:val="20"/>
        </w:rPr>
        <w:t>is</w:t>
      </w:r>
      <w:r w:rsidRPr="00B55EDB">
        <w:rPr>
          <w:rFonts w:ascii="Arial" w:hAnsi="Arial" w:cs="Arial"/>
          <w:sz w:val="20"/>
          <w:szCs w:val="20"/>
        </w:rPr>
        <w:t xml:space="preserve"> a key challenge </w:t>
      </w:r>
      <w:r w:rsidR="00FD1F44">
        <w:rPr>
          <w:rFonts w:ascii="Arial" w:hAnsi="Arial" w:cs="Arial"/>
          <w:sz w:val="20"/>
          <w:szCs w:val="20"/>
        </w:rPr>
        <w:t>identified by</w:t>
      </w:r>
      <w:r w:rsidRPr="00B55EDB">
        <w:rPr>
          <w:rFonts w:ascii="Arial" w:hAnsi="Arial" w:cs="Arial"/>
          <w:sz w:val="20"/>
          <w:szCs w:val="20"/>
        </w:rPr>
        <w:t xml:space="preserve"> respondent companies, with almost a quarter of respondents (2</w:t>
      </w:r>
      <w:r w:rsidR="003672F7">
        <w:rPr>
          <w:rFonts w:ascii="Arial" w:hAnsi="Arial" w:cs="Arial"/>
          <w:sz w:val="20"/>
          <w:szCs w:val="20"/>
        </w:rPr>
        <w:t>3</w:t>
      </w:r>
      <w:r w:rsidRPr="00B55EDB">
        <w:rPr>
          <w:rFonts w:ascii="Arial" w:hAnsi="Arial" w:cs="Arial"/>
          <w:sz w:val="20"/>
          <w:szCs w:val="20"/>
        </w:rPr>
        <w:t xml:space="preserve">%) identifying this as their main challenge. Investment confidence is the second most highly rated challenge among respondents with 19% identifying this as their top challenge. </w:t>
      </w:r>
    </w:p>
    <w:p w:rsidR="00B55EDB" w:rsidRPr="00B55EDB" w:rsidRDefault="00B55EDB" w:rsidP="00B55EDB">
      <w:pPr>
        <w:spacing w:after="0" w:line="240" w:lineRule="auto"/>
        <w:rPr>
          <w:rFonts w:ascii="Arial" w:hAnsi="Arial" w:cs="Arial"/>
          <w:sz w:val="20"/>
          <w:szCs w:val="20"/>
        </w:rPr>
      </w:pPr>
    </w:p>
    <w:p w:rsidR="00B55EDB" w:rsidRPr="00B55EDB" w:rsidRDefault="00B55EDB" w:rsidP="00B55EDB">
      <w:pPr>
        <w:spacing w:after="0" w:line="240" w:lineRule="auto"/>
        <w:rPr>
          <w:rFonts w:ascii="Arial" w:hAnsi="Arial" w:cs="Arial"/>
          <w:sz w:val="20"/>
          <w:szCs w:val="20"/>
        </w:rPr>
      </w:pPr>
      <w:r w:rsidRPr="00B55EDB">
        <w:rPr>
          <w:rFonts w:ascii="Arial" w:hAnsi="Arial" w:cs="Arial"/>
          <w:sz w:val="20"/>
          <w:szCs w:val="20"/>
        </w:rPr>
        <w:t>Investment confidence proportionally posed a bigger challenge for services sector companies than for manufacturing companies, while customs and certification barriers were an issue for more manufacturing than services companies. Limits on freedom of movement of people posed a bigger challenge to services companies rather than manufacturing.</w:t>
      </w:r>
    </w:p>
    <w:p w:rsidR="00B55EDB" w:rsidRPr="00B55EDB" w:rsidRDefault="00B55EDB" w:rsidP="00B55EDB">
      <w:pPr>
        <w:spacing w:after="0" w:line="240" w:lineRule="auto"/>
        <w:rPr>
          <w:rFonts w:ascii="Arial" w:hAnsi="Arial" w:cs="Arial"/>
          <w:sz w:val="20"/>
          <w:szCs w:val="20"/>
        </w:rPr>
      </w:pPr>
    </w:p>
    <w:p w:rsidR="00FD1F44" w:rsidRPr="00FD1F44" w:rsidRDefault="00FD1F44" w:rsidP="00FD1F44">
      <w:pPr>
        <w:spacing w:after="0" w:line="240" w:lineRule="auto"/>
        <w:rPr>
          <w:rFonts w:ascii="Arial" w:eastAsia="Times New Roman" w:hAnsi="Arial" w:cs="Arial"/>
          <w:b/>
          <w:color w:val="000000"/>
          <w:sz w:val="20"/>
          <w:szCs w:val="20"/>
          <w:lang w:eastAsia="en-IE"/>
        </w:rPr>
      </w:pPr>
      <w:r w:rsidRPr="00FD1F44">
        <w:rPr>
          <w:rFonts w:ascii="Arial" w:eastAsia="Times New Roman" w:hAnsi="Arial" w:cs="Arial"/>
          <w:b/>
          <w:color w:val="000000"/>
          <w:sz w:val="20"/>
          <w:szCs w:val="20"/>
          <w:lang w:eastAsia="en-IE"/>
        </w:rPr>
        <w:t xml:space="preserve">Table </w:t>
      </w:r>
      <w:r>
        <w:rPr>
          <w:rFonts w:ascii="Arial" w:eastAsia="Times New Roman" w:hAnsi="Arial" w:cs="Arial"/>
          <w:b/>
          <w:color w:val="000000"/>
          <w:sz w:val="20"/>
          <w:szCs w:val="20"/>
          <w:lang w:eastAsia="en-IE"/>
        </w:rPr>
        <w:t>2</w:t>
      </w:r>
      <w:r w:rsidRPr="00FD1F44">
        <w:rPr>
          <w:rFonts w:ascii="Arial" w:eastAsia="Times New Roman" w:hAnsi="Arial" w:cs="Arial"/>
          <w:b/>
          <w:color w:val="000000"/>
          <w:sz w:val="20"/>
          <w:szCs w:val="20"/>
          <w:lang w:eastAsia="en-IE"/>
        </w:rPr>
        <w:t>: Top three challenges</w:t>
      </w:r>
    </w:p>
    <w:tbl>
      <w:tblPr>
        <w:tblStyle w:val="LightList-Accent5"/>
        <w:tblW w:w="9889" w:type="dxa"/>
        <w:tblLayout w:type="fixed"/>
        <w:tblLook w:val="04A0" w:firstRow="1" w:lastRow="0" w:firstColumn="1" w:lastColumn="0" w:noHBand="0" w:noVBand="1"/>
        <w:tblDescription w:val="In your opinion, what are the main challenges a British exit from the EU poses to Irish Business. Please identify three (3) only, rating 1-3 with 1 being the most important impact on Irish business.&lt;br/&gt;"/>
      </w:tblPr>
      <w:tblGrid>
        <w:gridCol w:w="6394"/>
        <w:gridCol w:w="1227"/>
        <w:gridCol w:w="24"/>
        <w:gridCol w:w="1252"/>
        <w:gridCol w:w="992"/>
      </w:tblGrid>
      <w:tr w:rsidR="00FD1F44" w:rsidRPr="00FD1F44" w:rsidTr="00034C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4" w:type="dxa"/>
            <w:hideMark/>
          </w:tcPr>
          <w:p w:rsidR="00FD1F44" w:rsidRPr="00FD1F44" w:rsidRDefault="00FD1F44"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Challenges</w:t>
            </w:r>
          </w:p>
        </w:tc>
        <w:tc>
          <w:tcPr>
            <w:tcW w:w="1227" w:type="dxa"/>
          </w:tcPr>
          <w:p w:rsidR="00FD1F44" w:rsidRPr="00FD1F44" w:rsidRDefault="00FD1F44" w:rsidP="008D451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20"/>
                <w:szCs w:val="20"/>
                <w:lang w:eastAsia="en-IE"/>
              </w:rPr>
            </w:pPr>
            <w:r w:rsidRPr="00FD1F44">
              <w:rPr>
                <w:rFonts w:ascii="Arial" w:eastAsia="Times New Roman" w:hAnsi="Arial" w:cs="Arial"/>
                <w:b w:val="0"/>
                <w:bCs w:val="0"/>
                <w:sz w:val="20"/>
                <w:szCs w:val="20"/>
                <w:lang w:eastAsia="en-IE"/>
              </w:rPr>
              <w:t>Ranked 1</w:t>
            </w:r>
          </w:p>
        </w:tc>
        <w:tc>
          <w:tcPr>
            <w:tcW w:w="1276" w:type="dxa"/>
            <w:gridSpan w:val="2"/>
          </w:tcPr>
          <w:p w:rsidR="00FD1F44" w:rsidRPr="00FD1F44" w:rsidRDefault="00FD1F44" w:rsidP="008D451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20"/>
                <w:szCs w:val="20"/>
                <w:lang w:eastAsia="en-IE"/>
              </w:rPr>
            </w:pPr>
            <w:r w:rsidRPr="00FD1F44">
              <w:rPr>
                <w:rFonts w:ascii="Arial" w:eastAsia="Times New Roman" w:hAnsi="Arial" w:cs="Arial"/>
                <w:b w:val="0"/>
                <w:bCs w:val="0"/>
                <w:sz w:val="20"/>
                <w:szCs w:val="20"/>
                <w:lang w:eastAsia="en-IE"/>
              </w:rPr>
              <w:t>Ranked top 3</w:t>
            </w:r>
          </w:p>
        </w:tc>
        <w:tc>
          <w:tcPr>
            <w:tcW w:w="992" w:type="dxa"/>
          </w:tcPr>
          <w:p w:rsidR="00FD1F44" w:rsidRPr="00FD1F44" w:rsidRDefault="00FD1F44" w:rsidP="008D451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20"/>
                <w:szCs w:val="20"/>
                <w:lang w:eastAsia="en-IE"/>
              </w:rPr>
            </w:pPr>
            <w:r w:rsidRPr="00FD1F44">
              <w:rPr>
                <w:rFonts w:ascii="Arial" w:eastAsia="Times New Roman" w:hAnsi="Arial" w:cs="Arial"/>
                <w:b w:val="0"/>
                <w:bCs w:val="0"/>
                <w:sz w:val="20"/>
                <w:szCs w:val="20"/>
                <w:lang w:eastAsia="en-IE"/>
              </w:rPr>
              <w:t>Mean Score*</w:t>
            </w:r>
          </w:p>
        </w:tc>
      </w:tr>
      <w:tr w:rsidR="00FD1F44" w:rsidRPr="00FD1F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4" w:type="dxa"/>
          </w:tcPr>
          <w:p w:rsidR="00FD1F44" w:rsidRPr="00FD1F44" w:rsidRDefault="00FD1F44" w:rsidP="008D4519">
            <w:pPr>
              <w:rPr>
                <w:rFonts w:ascii="Arial" w:eastAsia="Times New Roman" w:hAnsi="Arial" w:cs="Arial"/>
                <w:sz w:val="20"/>
                <w:szCs w:val="20"/>
                <w:lang w:eastAsia="en-IE"/>
              </w:rPr>
            </w:pPr>
          </w:p>
        </w:tc>
        <w:tc>
          <w:tcPr>
            <w:tcW w:w="2503" w:type="dxa"/>
            <w:gridSpan w:val="3"/>
          </w:tcPr>
          <w:p w:rsidR="00FD1F44" w:rsidRPr="00FD1F44" w:rsidRDefault="00FD1F44"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Number of companies</w:t>
            </w:r>
          </w:p>
        </w:tc>
        <w:tc>
          <w:tcPr>
            <w:tcW w:w="992" w:type="dxa"/>
          </w:tcPr>
          <w:p w:rsidR="00FD1F44" w:rsidRPr="00FD1F44" w:rsidRDefault="00FD1F44"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p>
        </w:tc>
      </w:tr>
      <w:tr w:rsidR="009E49B7" w:rsidRPr="00FD1F44" w:rsidTr="00034C0C">
        <w:tc>
          <w:tcPr>
            <w:cnfStyle w:val="001000000000" w:firstRow="0" w:lastRow="0" w:firstColumn="1" w:lastColumn="0" w:oddVBand="0" w:evenVBand="0" w:oddHBand="0" w:evenHBand="0" w:firstRowFirstColumn="0" w:firstRowLastColumn="0" w:lastRowFirstColumn="0" w:lastRowLastColumn="0"/>
            <w:tcW w:w="6394" w:type="dxa"/>
            <w:hideMark/>
          </w:tcPr>
          <w:p w:rsidR="009E49B7" w:rsidRPr="00FD1F44" w:rsidRDefault="009E49B7"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Exchange rate volatility</w:t>
            </w:r>
          </w:p>
        </w:tc>
        <w:tc>
          <w:tcPr>
            <w:tcW w:w="1251" w:type="dxa"/>
            <w:gridSpan w:val="2"/>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82</w:t>
            </w:r>
          </w:p>
        </w:tc>
        <w:tc>
          <w:tcPr>
            <w:tcW w:w="1252" w:type="dxa"/>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208</w:t>
            </w:r>
          </w:p>
        </w:tc>
        <w:tc>
          <w:tcPr>
            <w:tcW w:w="992" w:type="dxa"/>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1.29</w:t>
            </w:r>
          </w:p>
        </w:tc>
      </w:tr>
      <w:tr w:rsidR="009E49B7" w:rsidRPr="00FD1F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4" w:type="dxa"/>
          </w:tcPr>
          <w:p w:rsidR="009E49B7" w:rsidRPr="00FD1F44" w:rsidRDefault="009E49B7"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Investment confidence</w:t>
            </w:r>
          </w:p>
        </w:tc>
        <w:tc>
          <w:tcPr>
            <w:tcW w:w="1251" w:type="dxa"/>
            <w:gridSpan w:val="2"/>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67</w:t>
            </w:r>
          </w:p>
        </w:tc>
        <w:tc>
          <w:tcPr>
            <w:tcW w:w="1252" w:type="dxa"/>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117</w:t>
            </w:r>
          </w:p>
        </w:tc>
        <w:tc>
          <w:tcPr>
            <w:tcW w:w="992" w:type="dxa"/>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0.76</w:t>
            </w:r>
          </w:p>
        </w:tc>
      </w:tr>
      <w:tr w:rsidR="009E49B7" w:rsidRPr="00FD1F44" w:rsidTr="00034C0C">
        <w:tc>
          <w:tcPr>
            <w:cnfStyle w:val="001000000000" w:firstRow="0" w:lastRow="0" w:firstColumn="1" w:lastColumn="0" w:oddVBand="0" w:evenVBand="0" w:oddHBand="0" w:evenHBand="0" w:firstRowFirstColumn="0" w:firstRowLastColumn="0" w:lastRowFirstColumn="0" w:lastRowLastColumn="0"/>
            <w:tcW w:w="6394" w:type="dxa"/>
            <w:hideMark/>
          </w:tcPr>
          <w:p w:rsidR="009E49B7" w:rsidRPr="00FD1F44" w:rsidRDefault="009E49B7"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Tariff barriers to the UK market</w:t>
            </w:r>
          </w:p>
        </w:tc>
        <w:tc>
          <w:tcPr>
            <w:tcW w:w="1251" w:type="dxa"/>
            <w:gridSpan w:val="2"/>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41</w:t>
            </w:r>
          </w:p>
        </w:tc>
        <w:tc>
          <w:tcPr>
            <w:tcW w:w="1252" w:type="dxa"/>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104</w:t>
            </w:r>
          </w:p>
        </w:tc>
        <w:tc>
          <w:tcPr>
            <w:tcW w:w="992" w:type="dxa"/>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0.60</w:t>
            </w:r>
          </w:p>
        </w:tc>
      </w:tr>
      <w:tr w:rsidR="009E49B7" w:rsidRPr="00FD1F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4" w:type="dxa"/>
            <w:hideMark/>
          </w:tcPr>
          <w:p w:rsidR="009E49B7" w:rsidRPr="00FD1F44" w:rsidRDefault="009E49B7"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 xml:space="preserve">Cost competitiveness versus UK </w:t>
            </w:r>
          </w:p>
        </w:tc>
        <w:tc>
          <w:tcPr>
            <w:tcW w:w="1251" w:type="dxa"/>
            <w:gridSpan w:val="2"/>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39</w:t>
            </w:r>
          </w:p>
        </w:tc>
        <w:tc>
          <w:tcPr>
            <w:tcW w:w="1252" w:type="dxa"/>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130</w:t>
            </w:r>
          </w:p>
        </w:tc>
        <w:tc>
          <w:tcPr>
            <w:tcW w:w="992" w:type="dxa"/>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0.72</w:t>
            </w:r>
          </w:p>
        </w:tc>
      </w:tr>
      <w:tr w:rsidR="009E49B7" w:rsidRPr="00FD1F44" w:rsidTr="00034C0C">
        <w:tc>
          <w:tcPr>
            <w:cnfStyle w:val="001000000000" w:firstRow="0" w:lastRow="0" w:firstColumn="1" w:lastColumn="0" w:oddVBand="0" w:evenVBand="0" w:oddHBand="0" w:evenHBand="0" w:firstRowFirstColumn="0" w:firstRowLastColumn="0" w:lastRowFirstColumn="0" w:lastRowLastColumn="0"/>
            <w:tcW w:w="6394" w:type="dxa"/>
            <w:hideMark/>
          </w:tcPr>
          <w:p w:rsidR="009E49B7" w:rsidRPr="00FD1F44" w:rsidRDefault="009E49B7"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Limits on freedom of movement of people between UK and Ireland</w:t>
            </w:r>
          </w:p>
        </w:tc>
        <w:tc>
          <w:tcPr>
            <w:tcW w:w="1251" w:type="dxa"/>
            <w:gridSpan w:val="2"/>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37</w:t>
            </w:r>
          </w:p>
        </w:tc>
        <w:tc>
          <w:tcPr>
            <w:tcW w:w="1252" w:type="dxa"/>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100</w:t>
            </w:r>
          </w:p>
        </w:tc>
        <w:tc>
          <w:tcPr>
            <w:tcW w:w="992" w:type="dxa"/>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0.57</w:t>
            </w:r>
          </w:p>
        </w:tc>
      </w:tr>
      <w:tr w:rsidR="009E49B7" w:rsidRPr="00FD1F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4" w:type="dxa"/>
            <w:hideMark/>
          </w:tcPr>
          <w:p w:rsidR="009E49B7" w:rsidRPr="00FD1F44" w:rsidRDefault="009E49B7"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 xml:space="preserve">Customs and Certification barriers </w:t>
            </w:r>
          </w:p>
        </w:tc>
        <w:tc>
          <w:tcPr>
            <w:tcW w:w="1251" w:type="dxa"/>
            <w:gridSpan w:val="2"/>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28</w:t>
            </w:r>
          </w:p>
        </w:tc>
        <w:tc>
          <w:tcPr>
            <w:tcW w:w="1252" w:type="dxa"/>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97</w:t>
            </w:r>
          </w:p>
        </w:tc>
        <w:tc>
          <w:tcPr>
            <w:tcW w:w="992" w:type="dxa"/>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0.49</w:t>
            </w:r>
          </w:p>
        </w:tc>
      </w:tr>
      <w:tr w:rsidR="009E49B7" w:rsidRPr="00FD1F44" w:rsidTr="00034C0C">
        <w:tc>
          <w:tcPr>
            <w:cnfStyle w:val="001000000000" w:firstRow="0" w:lastRow="0" w:firstColumn="1" w:lastColumn="0" w:oddVBand="0" w:evenVBand="0" w:oddHBand="0" w:evenHBand="0" w:firstRowFirstColumn="0" w:firstRowLastColumn="0" w:lastRowFirstColumn="0" w:lastRowLastColumn="0"/>
            <w:tcW w:w="6394" w:type="dxa"/>
            <w:hideMark/>
          </w:tcPr>
          <w:p w:rsidR="009E49B7" w:rsidRPr="00FD1F44" w:rsidRDefault="009E49B7"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Consumer confidence</w:t>
            </w:r>
          </w:p>
        </w:tc>
        <w:tc>
          <w:tcPr>
            <w:tcW w:w="1251" w:type="dxa"/>
            <w:gridSpan w:val="2"/>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23</w:t>
            </w:r>
          </w:p>
        </w:tc>
        <w:tc>
          <w:tcPr>
            <w:tcW w:w="1252" w:type="dxa"/>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85</w:t>
            </w:r>
          </w:p>
        </w:tc>
        <w:tc>
          <w:tcPr>
            <w:tcW w:w="992" w:type="dxa"/>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0.46</w:t>
            </w:r>
          </w:p>
        </w:tc>
      </w:tr>
      <w:tr w:rsidR="009E49B7" w:rsidRPr="00FD1F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4" w:type="dxa"/>
            <w:hideMark/>
          </w:tcPr>
          <w:p w:rsidR="009E49B7" w:rsidRPr="00FD1F44" w:rsidRDefault="009E49B7"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Disruption to the All-Island market</w:t>
            </w:r>
          </w:p>
        </w:tc>
        <w:tc>
          <w:tcPr>
            <w:tcW w:w="1251" w:type="dxa"/>
            <w:gridSpan w:val="2"/>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16</w:t>
            </w:r>
          </w:p>
        </w:tc>
        <w:tc>
          <w:tcPr>
            <w:tcW w:w="1252" w:type="dxa"/>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55</w:t>
            </w:r>
          </w:p>
        </w:tc>
        <w:tc>
          <w:tcPr>
            <w:tcW w:w="992" w:type="dxa"/>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0.29</w:t>
            </w:r>
          </w:p>
        </w:tc>
      </w:tr>
      <w:tr w:rsidR="009E49B7" w:rsidRPr="00FD1F44" w:rsidTr="00034C0C">
        <w:tc>
          <w:tcPr>
            <w:cnfStyle w:val="001000000000" w:firstRow="0" w:lastRow="0" w:firstColumn="1" w:lastColumn="0" w:oddVBand="0" w:evenVBand="0" w:oddHBand="0" w:evenHBand="0" w:firstRowFirstColumn="0" w:firstRowLastColumn="0" w:lastRowFirstColumn="0" w:lastRowLastColumn="0"/>
            <w:tcW w:w="6394" w:type="dxa"/>
            <w:hideMark/>
          </w:tcPr>
          <w:p w:rsidR="009E49B7" w:rsidRPr="00FD1F44" w:rsidRDefault="009E49B7"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Regulatory divergence with the UK</w:t>
            </w:r>
          </w:p>
        </w:tc>
        <w:tc>
          <w:tcPr>
            <w:tcW w:w="1251" w:type="dxa"/>
            <w:gridSpan w:val="2"/>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8</w:t>
            </w:r>
          </w:p>
        </w:tc>
        <w:tc>
          <w:tcPr>
            <w:tcW w:w="1252" w:type="dxa"/>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52</w:t>
            </w:r>
          </w:p>
        </w:tc>
        <w:tc>
          <w:tcPr>
            <w:tcW w:w="992" w:type="dxa"/>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0.24</w:t>
            </w:r>
          </w:p>
        </w:tc>
      </w:tr>
      <w:tr w:rsidR="009E49B7" w:rsidRPr="00FD1F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4" w:type="dxa"/>
            <w:hideMark/>
          </w:tcPr>
          <w:p w:rsidR="009E49B7" w:rsidRPr="00FD1F44" w:rsidRDefault="009E49B7"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 xml:space="preserve">Increased competition from the UK for mobile investment </w:t>
            </w:r>
          </w:p>
        </w:tc>
        <w:tc>
          <w:tcPr>
            <w:tcW w:w="1251" w:type="dxa"/>
            <w:gridSpan w:val="2"/>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6</w:t>
            </w:r>
          </w:p>
        </w:tc>
        <w:tc>
          <w:tcPr>
            <w:tcW w:w="1252" w:type="dxa"/>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26</w:t>
            </w:r>
          </w:p>
        </w:tc>
        <w:tc>
          <w:tcPr>
            <w:tcW w:w="992" w:type="dxa"/>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0.13</w:t>
            </w:r>
          </w:p>
        </w:tc>
      </w:tr>
      <w:tr w:rsidR="009E49B7" w:rsidRPr="00FD1F44" w:rsidTr="00034C0C">
        <w:tc>
          <w:tcPr>
            <w:cnfStyle w:val="001000000000" w:firstRow="0" w:lastRow="0" w:firstColumn="1" w:lastColumn="0" w:oddVBand="0" w:evenVBand="0" w:oddHBand="0" w:evenHBand="0" w:firstRowFirstColumn="0" w:firstRowLastColumn="0" w:lastRowFirstColumn="0" w:lastRowLastColumn="0"/>
            <w:tcW w:w="6394" w:type="dxa"/>
            <w:hideMark/>
          </w:tcPr>
          <w:p w:rsidR="009E49B7" w:rsidRPr="00FD1F44" w:rsidRDefault="009E49B7"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 xml:space="preserve">Increased competition from UK in export markets </w:t>
            </w:r>
          </w:p>
        </w:tc>
        <w:tc>
          <w:tcPr>
            <w:tcW w:w="1251" w:type="dxa"/>
            <w:gridSpan w:val="2"/>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5</w:t>
            </w:r>
          </w:p>
        </w:tc>
        <w:tc>
          <w:tcPr>
            <w:tcW w:w="1252" w:type="dxa"/>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43</w:t>
            </w:r>
          </w:p>
        </w:tc>
        <w:tc>
          <w:tcPr>
            <w:tcW w:w="992" w:type="dxa"/>
          </w:tcPr>
          <w:p w:rsidR="009E49B7" w:rsidRPr="00FD1F44" w:rsidRDefault="009E49B7"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0.20</w:t>
            </w:r>
          </w:p>
        </w:tc>
      </w:tr>
      <w:tr w:rsidR="009E49B7" w:rsidRPr="00FD1F44" w:rsidTr="00034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4" w:type="dxa"/>
            <w:hideMark/>
          </w:tcPr>
          <w:p w:rsidR="009E49B7" w:rsidRPr="00FD1F44" w:rsidRDefault="009E49B7"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Inward competition from the UK into the Irish market</w:t>
            </w:r>
          </w:p>
        </w:tc>
        <w:tc>
          <w:tcPr>
            <w:tcW w:w="1251" w:type="dxa"/>
            <w:gridSpan w:val="2"/>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5</w:t>
            </w:r>
          </w:p>
        </w:tc>
        <w:tc>
          <w:tcPr>
            <w:tcW w:w="1252" w:type="dxa"/>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54</w:t>
            </w:r>
          </w:p>
        </w:tc>
        <w:tc>
          <w:tcPr>
            <w:tcW w:w="992" w:type="dxa"/>
          </w:tcPr>
          <w:p w:rsidR="009E49B7" w:rsidRPr="00FD1F44" w:rsidRDefault="009E49B7" w:rsidP="008D451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0.22</w:t>
            </w:r>
          </w:p>
        </w:tc>
      </w:tr>
      <w:tr w:rsidR="00FD1F44" w:rsidRPr="00FD1F44" w:rsidTr="00034C0C">
        <w:tc>
          <w:tcPr>
            <w:cnfStyle w:val="001000000000" w:firstRow="0" w:lastRow="0" w:firstColumn="1" w:lastColumn="0" w:oddVBand="0" w:evenVBand="0" w:oddHBand="0" w:evenHBand="0" w:firstRowFirstColumn="0" w:firstRowLastColumn="0" w:lastRowFirstColumn="0" w:lastRowLastColumn="0"/>
            <w:tcW w:w="6394" w:type="dxa"/>
          </w:tcPr>
          <w:p w:rsidR="00FD1F44" w:rsidRPr="00FD1F44" w:rsidRDefault="00FD1F44" w:rsidP="008D4519">
            <w:pPr>
              <w:rPr>
                <w:rFonts w:ascii="Arial" w:eastAsia="Times New Roman" w:hAnsi="Arial" w:cs="Arial"/>
                <w:sz w:val="20"/>
                <w:szCs w:val="20"/>
                <w:lang w:eastAsia="en-IE"/>
              </w:rPr>
            </w:pPr>
            <w:r w:rsidRPr="00FD1F44">
              <w:rPr>
                <w:rFonts w:ascii="Arial" w:eastAsia="Times New Roman" w:hAnsi="Arial" w:cs="Arial"/>
                <w:sz w:val="20"/>
                <w:szCs w:val="20"/>
                <w:lang w:eastAsia="en-IE"/>
              </w:rPr>
              <w:t>Total</w:t>
            </w:r>
          </w:p>
        </w:tc>
        <w:tc>
          <w:tcPr>
            <w:tcW w:w="1251" w:type="dxa"/>
            <w:gridSpan w:val="2"/>
          </w:tcPr>
          <w:p w:rsidR="00FD1F44" w:rsidRPr="00FD1F44" w:rsidRDefault="00FD1F44"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r w:rsidRPr="00FD1F44">
              <w:rPr>
                <w:rFonts w:ascii="Arial" w:eastAsia="Times New Roman" w:hAnsi="Arial" w:cs="Arial"/>
                <w:b/>
                <w:bCs/>
                <w:sz w:val="20"/>
                <w:szCs w:val="20"/>
                <w:lang w:eastAsia="en-IE"/>
              </w:rPr>
              <w:t>357</w:t>
            </w:r>
          </w:p>
        </w:tc>
        <w:tc>
          <w:tcPr>
            <w:tcW w:w="1252" w:type="dxa"/>
          </w:tcPr>
          <w:p w:rsidR="00FD1F44" w:rsidRPr="00FD1F44" w:rsidRDefault="00FD1F44"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p>
        </w:tc>
        <w:tc>
          <w:tcPr>
            <w:tcW w:w="992" w:type="dxa"/>
          </w:tcPr>
          <w:p w:rsidR="00FD1F44" w:rsidRPr="00FD1F44" w:rsidRDefault="00FD1F44" w:rsidP="008D451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IE"/>
              </w:rPr>
            </w:pPr>
          </w:p>
        </w:tc>
      </w:tr>
    </w:tbl>
    <w:p w:rsidR="00034C0C" w:rsidRPr="00034C0C" w:rsidRDefault="00034C0C" w:rsidP="00034C0C">
      <w:pPr>
        <w:spacing w:after="0" w:line="240" w:lineRule="auto"/>
        <w:rPr>
          <w:rFonts w:ascii="Arial" w:hAnsi="Arial" w:cs="Arial"/>
          <w:sz w:val="16"/>
          <w:szCs w:val="16"/>
        </w:rPr>
      </w:pPr>
      <w:r w:rsidRPr="00034C0C">
        <w:rPr>
          <w:rFonts w:ascii="Arial" w:hAnsi="Arial" w:cs="Arial"/>
          <w:sz w:val="16"/>
          <w:szCs w:val="16"/>
        </w:rPr>
        <w:t xml:space="preserve">* Mean score is calculated by assigning a value of 3 to a ranking of 1, a value of 2 to a ranking of 2 and a value of 1 to a ranking of 3. Values are multiplied, added together and divided by the number of cases. This gives an insight into the relative importance of the items on the list. The higher the mean score the greater the importance of the item, across the top 3 rankings. </w:t>
      </w:r>
    </w:p>
    <w:p w:rsidR="00B55EDB" w:rsidRDefault="00B55EDB" w:rsidP="00B55EDB">
      <w:pPr>
        <w:rPr>
          <w:rFonts w:ascii="Arial" w:hAnsi="Arial" w:cs="Arial"/>
          <w:sz w:val="20"/>
          <w:szCs w:val="20"/>
        </w:rPr>
      </w:pPr>
    </w:p>
    <w:p w:rsidR="00034C0C" w:rsidRPr="00034C0C" w:rsidRDefault="00034C0C" w:rsidP="00034C0C">
      <w:pPr>
        <w:pStyle w:val="Heading3"/>
        <w:rPr>
          <w:rFonts w:ascii="Arial" w:hAnsi="Arial" w:cs="Arial"/>
          <w:sz w:val="20"/>
          <w:szCs w:val="20"/>
        </w:rPr>
      </w:pPr>
      <w:r>
        <w:rPr>
          <w:rFonts w:ascii="Arial" w:hAnsi="Arial" w:cs="Arial"/>
          <w:sz w:val="20"/>
          <w:szCs w:val="20"/>
        </w:rPr>
        <w:t>Challenges for Exporting C</w:t>
      </w:r>
      <w:r w:rsidRPr="00034C0C">
        <w:rPr>
          <w:rFonts w:ascii="Arial" w:hAnsi="Arial" w:cs="Arial"/>
          <w:sz w:val="20"/>
          <w:szCs w:val="20"/>
        </w:rPr>
        <w:t>ompanies</w:t>
      </w:r>
    </w:p>
    <w:p w:rsidR="00034C0C" w:rsidRPr="00034C0C" w:rsidRDefault="00034C0C" w:rsidP="00034C0C">
      <w:pPr>
        <w:spacing w:after="0" w:line="240" w:lineRule="auto"/>
        <w:rPr>
          <w:rFonts w:ascii="Arial" w:hAnsi="Arial" w:cs="Arial"/>
          <w:sz w:val="20"/>
          <w:szCs w:val="20"/>
        </w:rPr>
      </w:pPr>
      <w:r w:rsidRPr="00034C0C">
        <w:rPr>
          <w:rFonts w:ascii="Arial" w:hAnsi="Arial" w:cs="Arial"/>
          <w:sz w:val="20"/>
          <w:szCs w:val="20"/>
        </w:rPr>
        <w:t>Looking</w:t>
      </w:r>
      <w:r w:rsidRPr="00034C0C">
        <w:rPr>
          <w:rFonts w:ascii="Arial" w:hAnsi="Arial" w:cs="Arial"/>
          <w:sz w:val="20"/>
          <w:szCs w:val="20"/>
        </w:rPr>
        <w:t xml:space="preserve"> at whether companies export or </w:t>
      </w:r>
      <w:r w:rsidRPr="00034C0C">
        <w:rPr>
          <w:rFonts w:ascii="Arial" w:hAnsi="Arial" w:cs="Arial"/>
          <w:sz w:val="20"/>
          <w:szCs w:val="20"/>
        </w:rPr>
        <w:t xml:space="preserve">not, as expected the main challenges for exporting companies are those related to export markets, competition and exchange rate volatility. For example, exporting companies are more likely to see customs and certification as an issue for their company with 61 exporting companies ranking this as one of their top three challenges. Tariff barriers to the UK market ranked in the top three for 77 exporting companies (around a third of the total exporting companies covered by the survey). </w:t>
      </w:r>
    </w:p>
    <w:p w:rsidR="00034C0C" w:rsidRPr="00FD1F44" w:rsidRDefault="00034C0C" w:rsidP="00B55EDB">
      <w:pPr>
        <w:rPr>
          <w:rFonts w:ascii="Arial" w:hAnsi="Arial" w:cs="Arial"/>
          <w:sz w:val="20"/>
          <w:szCs w:val="20"/>
        </w:rPr>
      </w:pPr>
    </w:p>
    <w:p w:rsidR="00B55EDB" w:rsidRPr="0086333D" w:rsidRDefault="00B55EDB" w:rsidP="0086333D">
      <w:pPr>
        <w:pStyle w:val="Heading3"/>
        <w:rPr>
          <w:rFonts w:ascii="Arial" w:hAnsi="Arial" w:cs="Arial"/>
          <w:sz w:val="20"/>
          <w:szCs w:val="20"/>
        </w:rPr>
      </w:pPr>
      <w:r w:rsidRPr="0086333D">
        <w:rPr>
          <w:rFonts w:ascii="Arial" w:hAnsi="Arial" w:cs="Arial"/>
          <w:sz w:val="20"/>
          <w:szCs w:val="20"/>
        </w:rPr>
        <w:t>Contingency Planning</w:t>
      </w:r>
    </w:p>
    <w:p w:rsidR="00034C0C" w:rsidRPr="005E5714" w:rsidRDefault="00B55EDB" w:rsidP="005E5714">
      <w:pPr>
        <w:spacing w:after="0" w:line="240" w:lineRule="auto"/>
        <w:rPr>
          <w:rFonts w:ascii="Arial" w:hAnsi="Arial" w:cs="Arial"/>
          <w:sz w:val="20"/>
          <w:szCs w:val="20"/>
        </w:rPr>
      </w:pPr>
      <w:r w:rsidRPr="00B55EDB">
        <w:rPr>
          <w:rFonts w:ascii="Arial" w:hAnsi="Arial" w:cs="Arial"/>
          <w:sz w:val="20"/>
          <w:szCs w:val="20"/>
        </w:rPr>
        <w:t xml:space="preserve">A total of 358 respondents provided information on contingency planning. Around one in ten (9%) had already put a contingency plan in place. One in five respondent companies is currently working on a contingency plan, while around 18% plan to work on a </w:t>
      </w:r>
      <w:proofErr w:type="spellStart"/>
      <w:r w:rsidRPr="00B55EDB">
        <w:rPr>
          <w:rFonts w:ascii="Arial" w:hAnsi="Arial" w:cs="Arial"/>
          <w:sz w:val="20"/>
          <w:szCs w:val="20"/>
        </w:rPr>
        <w:t>Brexit</w:t>
      </w:r>
      <w:proofErr w:type="spellEnd"/>
      <w:r w:rsidRPr="00B55EDB">
        <w:rPr>
          <w:rFonts w:ascii="Arial" w:hAnsi="Arial" w:cs="Arial"/>
          <w:sz w:val="20"/>
          <w:szCs w:val="20"/>
        </w:rPr>
        <w:t xml:space="preserve"> contingency plan in the coming months. However over half of those who provided information, (54%), indicated that they did not know, as yet,</w:t>
      </w:r>
      <w:r w:rsidR="0086333D">
        <w:rPr>
          <w:rFonts w:ascii="Arial" w:hAnsi="Arial" w:cs="Arial"/>
          <w:sz w:val="20"/>
          <w:szCs w:val="20"/>
        </w:rPr>
        <w:t xml:space="preserve"> </w:t>
      </w:r>
      <w:r w:rsidRPr="00B55EDB">
        <w:rPr>
          <w:rFonts w:ascii="Arial" w:hAnsi="Arial" w:cs="Arial"/>
          <w:sz w:val="20"/>
          <w:szCs w:val="20"/>
        </w:rPr>
        <w:t>if their company would prepare a contingency plan.</w:t>
      </w:r>
      <w:r w:rsidR="00034C0C">
        <w:rPr>
          <w:rFonts w:ascii="Arial" w:hAnsi="Arial" w:cs="Arial"/>
          <w:sz w:val="20"/>
          <w:szCs w:val="20"/>
        </w:rPr>
        <w:t xml:space="preserve"> </w:t>
      </w:r>
      <w:r w:rsidR="005E5714">
        <w:rPr>
          <w:rFonts w:ascii="Arial" w:hAnsi="Arial" w:cs="Arial"/>
          <w:sz w:val="20"/>
          <w:szCs w:val="20"/>
        </w:rPr>
        <w:t xml:space="preserve"> In terms of the preparation of contingency plans, larger companies were no more likely than smaller companies to have a contingency plan in place. </w:t>
      </w:r>
      <w:r w:rsidR="00034C0C">
        <w:rPr>
          <w:rFonts w:ascii="Arial" w:hAnsi="Arial" w:cs="Arial"/>
          <w:sz w:val="20"/>
          <w:szCs w:val="20"/>
        </w:rPr>
        <w:br w:type="page"/>
      </w:r>
    </w:p>
    <w:p w:rsidR="00034C0C" w:rsidRDefault="00034C0C" w:rsidP="00034C0C">
      <w:pPr>
        <w:pStyle w:val="Heading3"/>
        <w:rPr>
          <w:rFonts w:ascii="Arial" w:hAnsi="Arial" w:cs="Arial"/>
          <w:sz w:val="20"/>
          <w:szCs w:val="20"/>
        </w:rPr>
      </w:pPr>
    </w:p>
    <w:p w:rsidR="00034C0C" w:rsidRPr="00034C0C" w:rsidRDefault="00034C0C" w:rsidP="00034C0C">
      <w:pPr>
        <w:pStyle w:val="Heading3"/>
        <w:rPr>
          <w:rFonts w:ascii="Arial" w:hAnsi="Arial" w:cs="Arial"/>
          <w:sz w:val="20"/>
          <w:szCs w:val="20"/>
        </w:rPr>
      </w:pPr>
      <w:r w:rsidRPr="00034C0C">
        <w:rPr>
          <w:rFonts w:ascii="Arial" w:hAnsi="Arial" w:cs="Arial"/>
          <w:sz w:val="20"/>
          <w:szCs w:val="20"/>
        </w:rPr>
        <w:t>Hedging</w:t>
      </w:r>
      <w:r>
        <w:rPr>
          <w:rFonts w:ascii="Arial" w:hAnsi="Arial" w:cs="Arial"/>
          <w:sz w:val="20"/>
          <w:szCs w:val="20"/>
        </w:rPr>
        <w:t xml:space="preserve"> </w:t>
      </w:r>
      <w:r w:rsidRPr="00034C0C">
        <w:rPr>
          <w:rFonts w:ascii="Arial" w:hAnsi="Arial" w:cs="Arial"/>
          <w:sz w:val="20"/>
          <w:szCs w:val="20"/>
        </w:rPr>
        <w:t>and</w:t>
      </w:r>
      <w:r w:rsidRPr="00034C0C">
        <w:rPr>
          <w:rFonts w:ascii="Arial" w:hAnsi="Arial" w:cs="Arial"/>
          <w:sz w:val="20"/>
          <w:szCs w:val="20"/>
        </w:rPr>
        <w:t xml:space="preserve"> Pricing Agreements</w:t>
      </w:r>
    </w:p>
    <w:p w:rsidR="00034C0C" w:rsidRPr="00034C0C" w:rsidRDefault="00034C0C" w:rsidP="003672F7">
      <w:pPr>
        <w:spacing w:after="0" w:line="240" w:lineRule="auto"/>
        <w:rPr>
          <w:rFonts w:ascii="Arial" w:hAnsi="Arial" w:cs="Arial"/>
          <w:sz w:val="20"/>
          <w:szCs w:val="20"/>
        </w:rPr>
      </w:pPr>
      <w:r w:rsidRPr="00034C0C">
        <w:rPr>
          <w:rFonts w:ascii="Arial" w:hAnsi="Arial" w:cs="Arial"/>
          <w:sz w:val="20"/>
          <w:szCs w:val="20"/>
        </w:rPr>
        <w:t xml:space="preserve">A total of 70 respondents </w:t>
      </w:r>
      <w:r>
        <w:rPr>
          <w:rFonts w:ascii="Arial" w:hAnsi="Arial" w:cs="Arial"/>
          <w:sz w:val="20"/>
          <w:szCs w:val="20"/>
        </w:rPr>
        <w:t xml:space="preserve">already </w:t>
      </w:r>
      <w:r w:rsidRPr="00034C0C">
        <w:rPr>
          <w:rFonts w:ascii="Arial" w:hAnsi="Arial" w:cs="Arial"/>
          <w:sz w:val="20"/>
          <w:szCs w:val="20"/>
        </w:rPr>
        <w:t xml:space="preserve">had hedging in place. Of these 70 companies, 50 had identified themselves as exporting companies. </w:t>
      </w:r>
      <w:r w:rsidR="003672F7">
        <w:rPr>
          <w:rFonts w:ascii="Arial" w:hAnsi="Arial" w:cs="Arial"/>
          <w:sz w:val="20"/>
          <w:szCs w:val="20"/>
        </w:rPr>
        <w:t xml:space="preserve">Some </w:t>
      </w:r>
      <w:r w:rsidRPr="00034C0C">
        <w:rPr>
          <w:rFonts w:ascii="Arial" w:hAnsi="Arial" w:cs="Arial"/>
          <w:sz w:val="20"/>
          <w:szCs w:val="20"/>
        </w:rPr>
        <w:t>46 companies had pricing agreements in place, of which 32 companies were exporting companies. For the 46 companies with pricing agreements in place, over half (52%) were in sterling.</w:t>
      </w:r>
    </w:p>
    <w:p w:rsidR="00034C0C" w:rsidRPr="00034C0C" w:rsidRDefault="00034C0C" w:rsidP="00034C0C">
      <w:pPr>
        <w:autoSpaceDE w:val="0"/>
        <w:autoSpaceDN w:val="0"/>
        <w:adjustRightInd w:val="0"/>
        <w:spacing w:after="0" w:line="240" w:lineRule="auto"/>
        <w:rPr>
          <w:rFonts w:ascii="Times New Roman" w:hAnsi="Times New Roman" w:cs="Times New Roman"/>
          <w:sz w:val="20"/>
          <w:szCs w:val="20"/>
        </w:rPr>
      </w:pPr>
    </w:p>
    <w:p w:rsidR="00034C0C" w:rsidRPr="00034C0C" w:rsidRDefault="00034C0C" w:rsidP="00034C0C">
      <w:pPr>
        <w:spacing w:after="0" w:line="240" w:lineRule="auto"/>
        <w:rPr>
          <w:rFonts w:ascii="Arial" w:hAnsi="Arial" w:cs="Arial"/>
          <w:sz w:val="20"/>
          <w:szCs w:val="20"/>
        </w:rPr>
      </w:pPr>
      <w:r w:rsidRPr="00034C0C">
        <w:rPr>
          <w:rFonts w:ascii="Arial" w:hAnsi="Arial" w:cs="Arial"/>
          <w:sz w:val="20"/>
          <w:szCs w:val="20"/>
        </w:rPr>
        <w:t xml:space="preserve">Overall 110 companies had either hedging or a pricing agreement in place. The duration of time for which companies were covered under these agreements is set out in table </w:t>
      </w:r>
      <w:r>
        <w:rPr>
          <w:rFonts w:ascii="Arial" w:hAnsi="Arial" w:cs="Arial"/>
          <w:sz w:val="20"/>
          <w:szCs w:val="20"/>
        </w:rPr>
        <w:t>3 below.</w:t>
      </w:r>
      <w:r w:rsidRPr="00034C0C">
        <w:rPr>
          <w:rFonts w:ascii="Arial" w:hAnsi="Arial" w:cs="Arial"/>
          <w:sz w:val="20"/>
          <w:szCs w:val="20"/>
        </w:rPr>
        <w:t xml:space="preserve"> </w:t>
      </w:r>
    </w:p>
    <w:p w:rsidR="00034C0C" w:rsidRPr="00034C0C" w:rsidRDefault="00034C0C" w:rsidP="00034C0C">
      <w:pPr>
        <w:spacing w:after="0" w:line="240" w:lineRule="auto"/>
        <w:rPr>
          <w:rFonts w:ascii="Arial" w:hAnsi="Arial" w:cs="Arial"/>
          <w:sz w:val="20"/>
          <w:szCs w:val="20"/>
        </w:rPr>
      </w:pPr>
    </w:p>
    <w:p w:rsidR="00034C0C" w:rsidRPr="00034C0C" w:rsidRDefault="00034C0C" w:rsidP="00034C0C">
      <w:pPr>
        <w:autoSpaceDE w:val="0"/>
        <w:autoSpaceDN w:val="0"/>
        <w:adjustRightInd w:val="0"/>
        <w:spacing w:after="0" w:line="240" w:lineRule="auto"/>
        <w:rPr>
          <w:rFonts w:ascii="Arial" w:hAnsi="Arial" w:cs="Arial"/>
          <w:b/>
          <w:sz w:val="20"/>
          <w:szCs w:val="20"/>
        </w:rPr>
      </w:pPr>
      <w:r w:rsidRPr="00034C0C">
        <w:rPr>
          <w:rFonts w:ascii="Arial" w:hAnsi="Arial" w:cs="Arial"/>
          <w:b/>
          <w:sz w:val="20"/>
          <w:szCs w:val="20"/>
        </w:rPr>
        <w:t xml:space="preserve">Table </w:t>
      </w:r>
      <w:r>
        <w:rPr>
          <w:rFonts w:ascii="Arial" w:hAnsi="Arial" w:cs="Arial"/>
          <w:b/>
          <w:sz w:val="20"/>
          <w:szCs w:val="20"/>
        </w:rPr>
        <w:t>3</w:t>
      </w:r>
      <w:r w:rsidRPr="00034C0C">
        <w:rPr>
          <w:rFonts w:ascii="Arial" w:hAnsi="Arial" w:cs="Arial"/>
          <w:b/>
          <w:sz w:val="20"/>
          <w:szCs w:val="20"/>
        </w:rPr>
        <w:t>: Hedging and Pricing agreements – period of coverage</w:t>
      </w:r>
    </w:p>
    <w:tbl>
      <w:tblPr>
        <w:tblStyle w:val="LightList-Accent5"/>
        <w:tblW w:w="8363" w:type="dxa"/>
        <w:tblLayout w:type="fixed"/>
        <w:tblLook w:val="0000" w:firstRow="0" w:lastRow="0" w:firstColumn="0" w:lastColumn="0" w:noHBand="0" w:noVBand="0"/>
      </w:tblPr>
      <w:tblGrid>
        <w:gridCol w:w="4997"/>
        <w:gridCol w:w="1950"/>
        <w:gridCol w:w="1416"/>
      </w:tblGrid>
      <w:tr w:rsidR="00034C0C" w:rsidRPr="00034C0C" w:rsidTr="00034C0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997" w:type="dxa"/>
            <w:shd w:val="clear" w:color="auto" w:fill="4F81BD" w:themeFill="accent1"/>
          </w:tcPr>
          <w:p w:rsidR="00034C0C" w:rsidRPr="00034C0C" w:rsidRDefault="00034C0C" w:rsidP="008D4519">
            <w:pPr>
              <w:autoSpaceDE w:val="0"/>
              <w:autoSpaceDN w:val="0"/>
              <w:adjustRightInd w:val="0"/>
              <w:rPr>
                <w:rFonts w:ascii="Arial" w:hAnsi="Arial" w:cs="Arial"/>
                <w:b/>
                <w:color w:val="FFFFFF" w:themeColor="background1"/>
                <w:sz w:val="20"/>
                <w:szCs w:val="20"/>
              </w:rPr>
            </w:pPr>
          </w:p>
        </w:tc>
        <w:tc>
          <w:tcPr>
            <w:tcW w:w="1950" w:type="dxa"/>
            <w:shd w:val="clear" w:color="auto" w:fill="4F81BD" w:themeFill="accent1"/>
          </w:tcPr>
          <w:p w:rsidR="00034C0C" w:rsidRPr="00034C0C" w:rsidRDefault="00034C0C" w:rsidP="00034C0C">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FFFFFF" w:themeColor="background1"/>
                <w:sz w:val="20"/>
                <w:szCs w:val="20"/>
              </w:rPr>
            </w:pPr>
            <w:r w:rsidRPr="00034C0C">
              <w:rPr>
                <w:rFonts w:ascii="Arial" w:hAnsi="Arial" w:cs="Arial"/>
                <w:b/>
                <w:color w:val="FFFFFF" w:themeColor="background1"/>
                <w:sz w:val="20"/>
                <w:szCs w:val="20"/>
              </w:rPr>
              <w:t>Number</w:t>
            </w:r>
          </w:p>
        </w:tc>
        <w:tc>
          <w:tcPr>
            <w:cnfStyle w:val="000010000000" w:firstRow="0" w:lastRow="0" w:firstColumn="0" w:lastColumn="0" w:oddVBand="1" w:evenVBand="0" w:oddHBand="0" w:evenHBand="0" w:firstRowFirstColumn="0" w:firstRowLastColumn="0" w:lastRowFirstColumn="0" w:lastRowLastColumn="0"/>
            <w:tcW w:w="1416" w:type="dxa"/>
            <w:shd w:val="clear" w:color="auto" w:fill="4F81BD" w:themeFill="accent1"/>
          </w:tcPr>
          <w:p w:rsidR="00034C0C" w:rsidRPr="00034C0C" w:rsidRDefault="00034C0C" w:rsidP="00034C0C">
            <w:pPr>
              <w:autoSpaceDE w:val="0"/>
              <w:autoSpaceDN w:val="0"/>
              <w:adjustRightInd w:val="0"/>
              <w:ind w:left="60" w:right="60"/>
              <w:jc w:val="center"/>
              <w:rPr>
                <w:rFonts w:ascii="Arial" w:hAnsi="Arial" w:cs="Arial"/>
                <w:b/>
                <w:color w:val="FFFFFF" w:themeColor="background1"/>
                <w:sz w:val="20"/>
                <w:szCs w:val="20"/>
              </w:rPr>
            </w:pPr>
            <w:proofErr w:type="spellStart"/>
            <w:r w:rsidRPr="00034C0C">
              <w:rPr>
                <w:rFonts w:ascii="Arial" w:hAnsi="Arial" w:cs="Arial"/>
                <w:b/>
                <w:color w:val="FFFFFF" w:themeColor="background1"/>
                <w:sz w:val="20"/>
                <w:szCs w:val="20"/>
              </w:rPr>
              <w:t>Percent</w:t>
            </w:r>
            <w:proofErr w:type="spellEnd"/>
          </w:p>
        </w:tc>
      </w:tr>
      <w:tr w:rsidR="00034C0C" w:rsidRPr="00034C0C" w:rsidTr="00034C0C">
        <w:tc>
          <w:tcPr>
            <w:cnfStyle w:val="000010000000" w:firstRow="0" w:lastRow="0" w:firstColumn="0" w:lastColumn="0" w:oddVBand="1" w:evenVBand="0" w:oddHBand="0" w:evenHBand="0" w:firstRowFirstColumn="0" w:firstRowLastColumn="0" w:lastRowFirstColumn="0" w:lastRowLastColumn="0"/>
            <w:tcW w:w="4997" w:type="dxa"/>
          </w:tcPr>
          <w:p w:rsidR="00034C0C" w:rsidRPr="00034C0C" w:rsidRDefault="00034C0C" w:rsidP="008D4519">
            <w:pPr>
              <w:autoSpaceDE w:val="0"/>
              <w:autoSpaceDN w:val="0"/>
              <w:adjustRightInd w:val="0"/>
              <w:ind w:left="60" w:right="60"/>
              <w:rPr>
                <w:rFonts w:ascii="Arial" w:hAnsi="Arial" w:cs="Arial"/>
                <w:color w:val="000000"/>
                <w:sz w:val="20"/>
                <w:szCs w:val="20"/>
              </w:rPr>
            </w:pPr>
            <w:r w:rsidRPr="00034C0C">
              <w:rPr>
                <w:rFonts w:ascii="Arial" w:hAnsi="Arial" w:cs="Arial"/>
                <w:color w:val="000000"/>
                <w:sz w:val="20"/>
                <w:szCs w:val="20"/>
              </w:rPr>
              <w:t>0-3 months</w:t>
            </w:r>
          </w:p>
        </w:tc>
        <w:tc>
          <w:tcPr>
            <w:tcW w:w="1950" w:type="dxa"/>
          </w:tcPr>
          <w:p w:rsidR="00034C0C" w:rsidRPr="00034C0C" w:rsidRDefault="00034C0C" w:rsidP="00034C0C">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34C0C">
              <w:rPr>
                <w:rFonts w:ascii="Arial" w:hAnsi="Arial" w:cs="Arial"/>
                <w:color w:val="000000"/>
                <w:sz w:val="20"/>
                <w:szCs w:val="20"/>
              </w:rPr>
              <w:t>18</w:t>
            </w:r>
          </w:p>
        </w:tc>
        <w:tc>
          <w:tcPr>
            <w:cnfStyle w:val="000010000000" w:firstRow="0" w:lastRow="0" w:firstColumn="0" w:lastColumn="0" w:oddVBand="1" w:evenVBand="0" w:oddHBand="0" w:evenHBand="0" w:firstRowFirstColumn="0" w:firstRowLastColumn="0" w:lastRowFirstColumn="0" w:lastRowLastColumn="0"/>
            <w:tcW w:w="1416" w:type="dxa"/>
          </w:tcPr>
          <w:p w:rsidR="00034C0C" w:rsidRPr="00034C0C" w:rsidRDefault="00034C0C" w:rsidP="00034C0C">
            <w:pPr>
              <w:autoSpaceDE w:val="0"/>
              <w:autoSpaceDN w:val="0"/>
              <w:adjustRightInd w:val="0"/>
              <w:ind w:left="60" w:right="60"/>
              <w:jc w:val="center"/>
              <w:rPr>
                <w:rFonts w:ascii="Arial" w:hAnsi="Arial" w:cs="Arial"/>
                <w:color w:val="000000"/>
                <w:sz w:val="20"/>
                <w:szCs w:val="20"/>
              </w:rPr>
            </w:pPr>
            <w:r w:rsidRPr="00034C0C">
              <w:rPr>
                <w:rFonts w:ascii="Arial" w:hAnsi="Arial" w:cs="Arial"/>
                <w:color w:val="000000"/>
                <w:sz w:val="20"/>
                <w:szCs w:val="20"/>
              </w:rPr>
              <w:t>16.4</w:t>
            </w:r>
          </w:p>
        </w:tc>
      </w:tr>
      <w:tr w:rsidR="00034C0C" w:rsidRPr="00034C0C" w:rsidTr="00034C0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997" w:type="dxa"/>
          </w:tcPr>
          <w:p w:rsidR="00034C0C" w:rsidRPr="00034C0C" w:rsidRDefault="00034C0C" w:rsidP="008D4519">
            <w:pPr>
              <w:autoSpaceDE w:val="0"/>
              <w:autoSpaceDN w:val="0"/>
              <w:adjustRightInd w:val="0"/>
              <w:ind w:left="60" w:right="60"/>
              <w:rPr>
                <w:rFonts w:ascii="Arial" w:hAnsi="Arial" w:cs="Arial"/>
                <w:color w:val="000000"/>
                <w:sz w:val="20"/>
                <w:szCs w:val="20"/>
              </w:rPr>
            </w:pPr>
            <w:r w:rsidRPr="00034C0C">
              <w:rPr>
                <w:rFonts w:ascii="Arial" w:hAnsi="Arial" w:cs="Arial"/>
                <w:color w:val="000000"/>
                <w:sz w:val="20"/>
                <w:szCs w:val="20"/>
              </w:rPr>
              <w:t>3-6 months</w:t>
            </w:r>
          </w:p>
        </w:tc>
        <w:tc>
          <w:tcPr>
            <w:tcW w:w="1950" w:type="dxa"/>
          </w:tcPr>
          <w:p w:rsidR="00034C0C" w:rsidRPr="00034C0C" w:rsidRDefault="00034C0C" w:rsidP="00034C0C">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34C0C">
              <w:rPr>
                <w:rFonts w:ascii="Arial" w:hAnsi="Arial" w:cs="Arial"/>
                <w:color w:val="000000"/>
                <w:sz w:val="20"/>
                <w:szCs w:val="20"/>
              </w:rPr>
              <w:t>22</w:t>
            </w:r>
          </w:p>
        </w:tc>
        <w:tc>
          <w:tcPr>
            <w:cnfStyle w:val="000010000000" w:firstRow="0" w:lastRow="0" w:firstColumn="0" w:lastColumn="0" w:oddVBand="1" w:evenVBand="0" w:oddHBand="0" w:evenHBand="0" w:firstRowFirstColumn="0" w:firstRowLastColumn="0" w:lastRowFirstColumn="0" w:lastRowLastColumn="0"/>
            <w:tcW w:w="1416" w:type="dxa"/>
          </w:tcPr>
          <w:p w:rsidR="00034C0C" w:rsidRPr="00034C0C" w:rsidRDefault="00034C0C" w:rsidP="00034C0C">
            <w:pPr>
              <w:autoSpaceDE w:val="0"/>
              <w:autoSpaceDN w:val="0"/>
              <w:adjustRightInd w:val="0"/>
              <w:ind w:left="60" w:right="60"/>
              <w:jc w:val="center"/>
              <w:rPr>
                <w:rFonts w:ascii="Arial" w:hAnsi="Arial" w:cs="Arial"/>
                <w:color w:val="000000"/>
                <w:sz w:val="20"/>
                <w:szCs w:val="20"/>
              </w:rPr>
            </w:pPr>
            <w:r w:rsidRPr="00034C0C">
              <w:rPr>
                <w:rFonts w:ascii="Arial" w:hAnsi="Arial" w:cs="Arial"/>
                <w:color w:val="000000"/>
                <w:sz w:val="20"/>
                <w:szCs w:val="20"/>
              </w:rPr>
              <w:t>20.0</w:t>
            </w:r>
          </w:p>
        </w:tc>
      </w:tr>
      <w:tr w:rsidR="00034C0C" w:rsidRPr="00034C0C" w:rsidTr="00034C0C">
        <w:tc>
          <w:tcPr>
            <w:cnfStyle w:val="000010000000" w:firstRow="0" w:lastRow="0" w:firstColumn="0" w:lastColumn="0" w:oddVBand="1" w:evenVBand="0" w:oddHBand="0" w:evenHBand="0" w:firstRowFirstColumn="0" w:firstRowLastColumn="0" w:lastRowFirstColumn="0" w:lastRowLastColumn="0"/>
            <w:tcW w:w="4997" w:type="dxa"/>
          </w:tcPr>
          <w:p w:rsidR="00034C0C" w:rsidRPr="00034C0C" w:rsidRDefault="00034C0C" w:rsidP="008D4519">
            <w:pPr>
              <w:autoSpaceDE w:val="0"/>
              <w:autoSpaceDN w:val="0"/>
              <w:adjustRightInd w:val="0"/>
              <w:ind w:left="60" w:right="60"/>
              <w:rPr>
                <w:rFonts w:ascii="Arial" w:hAnsi="Arial" w:cs="Arial"/>
                <w:color w:val="000000"/>
                <w:sz w:val="20"/>
                <w:szCs w:val="20"/>
              </w:rPr>
            </w:pPr>
            <w:r w:rsidRPr="00034C0C">
              <w:rPr>
                <w:rFonts w:ascii="Arial" w:hAnsi="Arial" w:cs="Arial"/>
                <w:color w:val="000000"/>
                <w:sz w:val="20"/>
                <w:szCs w:val="20"/>
              </w:rPr>
              <w:t>6-9 months</w:t>
            </w:r>
          </w:p>
        </w:tc>
        <w:tc>
          <w:tcPr>
            <w:tcW w:w="1950" w:type="dxa"/>
          </w:tcPr>
          <w:p w:rsidR="00034C0C" w:rsidRPr="00034C0C" w:rsidRDefault="00034C0C" w:rsidP="00034C0C">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34C0C">
              <w:rPr>
                <w:rFonts w:ascii="Arial" w:hAnsi="Arial" w:cs="Arial"/>
                <w:color w:val="000000"/>
                <w:sz w:val="20"/>
                <w:szCs w:val="20"/>
              </w:rPr>
              <w:t>15</w:t>
            </w:r>
          </w:p>
        </w:tc>
        <w:tc>
          <w:tcPr>
            <w:cnfStyle w:val="000010000000" w:firstRow="0" w:lastRow="0" w:firstColumn="0" w:lastColumn="0" w:oddVBand="1" w:evenVBand="0" w:oddHBand="0" w:evenHBand="0" w:firstRowFirstColumn="0" w:firstRowLastColumn="0" w:lastRowFirstColumn="0" w:lastRowLastColumn="0"/>
            <w:tcW w:w="1416" w:type="dxa"/>
          </w:tcPr>
          <w:p w:rsidR="00034C0C" w:rsidRPr="00034C0C" w:rsidRDefault="00034C0C" w:rsidP="00034C0C">
            <w:pPr>
              <w:autoSpaceDE w:val="0"/>
              <w:autoSpaceDN w:val="0"/>
              <w:adjustRightInd w:val="0"/>
              <w:ind w:left="60" w:right="60"/>
              <w:jc w:val="center"/>
              <w:rPr>
                <w:rFonts w:ascii="Arial" w:hAnsi="Arial" w:cs="Arial"/>
                <w:color w:val="000000"/>
                <w:sz w:val="20"/>
                <w:szCs w:val="20"/>
              </w:rPr>
            </w:pPr>
            <w:r w:rsidRPr="00034C0C">
              <w:rPr>
                <w:rFonts w:ascii="Arial" w:hAnsi="Arial" w:cs="Arial"/>
                <w:color w:val="000000"/>
                <w:sz w:val="20"/>
                <w:szCs w:val="20"/>
              </w:rPr>
              <w:t>13.6</w:t>
            </w:r>
          </w:p>
        </w:tc>
      </w:tr>
      <w:tr w:rsidR="00034C0C" w:rsidRPr="00034C0C" w:rsidTr="00034C0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997" w:type="dxa"/>
          </w:tcPr>
          <w:p w:rsidR="00034C0C" w:rsidRPr="00034C0C" w:rsidRDefault="00034C0C" w:rsidP="008D4519">
            <w:pPr>
              <w:autoSpaceDE w:val="0"/>
              <w:autoSpaceDN w:val="0"/>
              <w:adjustRightInd w:val="0"/>
              <w:ind w:left="60" w:right="60"/>
              <w:rPr>
                <w:rFonts w:ascii="Arial" w:hAnsi="Arial" w:cs="Arial"/>
                <w:color w:val="000000"/>
                <w:sz w:val="20"/>
                <w:szCs w:val="20"/>
              </w:rPr>
            </w:pPr>
            <w:r w:rsidRPr="00034C0C">
              <w:rPr>
                <w:rFonts w:ascii="Arial" w:hAnsi="Arial" w:cs="Arial"/>
                <w:color w:val="000000"/>
                <w:sz w:val="20"/>
                <w:szCs w:val="20"/>
              </w:rPr>
              <w:t>9-12 months</w:t>
            </w:r>
          </w:p>
        </w:tc>
        <w:tc>
          <w:tcPr>
            <w:tcW w:w="1950" w:type="dxa"/>
          </w:tcPr>
          <w:p w:rsidR="00034C0C" w:rsidRPr="00034C0C" w:rsidRDefault="00034C0C" w:rsidP="00034C0C">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34C0C">
              <w:rPr>
                <w:rFonts w:ascii="Arial" w:hAnsi="Arial" w:cs="Arial"/>
                <w:color w:val="000000"/>
                <w:sz w:val="20"/>
                <w:szCs w:val="20"/>
              </w:rPr>
              <w:t>26</w:t>
            </w:r>
          </w:p>
        </w:tc>
        <w:tc>
          <w:tcPr>
            <w:cnfStyle w:val="000010000000" w:firstRow="0" w:lastRow="0" w:firstColumn="0" w:lastColumn="0" w:oddVBand="1" w:evenVBand="0" w:oddHBand="0" w:evenHBand="0" w:firstRowFirstColumn="0" w:firstRowLastColumn="0" w:lastRowFirstColumn="0" w:lastRowLastColumn="0"/>
            <w:tcW w:w="1416" w:type="dxa"/>
          </w:tcPr>
          <w:p w:rsidR="00034C0C" w:rsidRPr="00034C0C" w:rsidRDefault="00034C0C" w:rsidP="00034C0C">
            <w:pPr>
              <w:autoSpaceDE w:val="0"/>
              <w:autoSpaceDN w:val="0"/>
              <w:adjustRightInd w:val="0"/>
              <w:ind w:left="60" w:right="60"/>
              <w:jc w:val="center"/>
              <w:rPr>
                <w:rFonts w:ascii="Arial" w:hAnsi="Arial" w:cs="Arial"/>
                <w:color w:val="000000"/>
                <w:sz w:val="20"/>
                <w:szCs w:val="20"/>
              </w:rPr>
            </w:pPr>
            <w:r w:rsidRPr="00034C0C">
              <w:rPr>
                <w:rFonts w:ascii="Arial" w:hAnsi="Arial" w:cs="Arial"/>
                <w:color w:val="000000"/>
                <w:sz w:val="20"/>
                <w:szCs w:val="20"/>
              </w:rPr>
              <w:t>23.6</w:t>
            </w:r>
          </w:p>
        </w:tc>
      </w:tr>
      <w:tr w:rsidR="00034C0C" w:rsidRPr="00034C0C" w:rsidTr="00034C0C">
        <w:tc>
          <w:tcPr>
            <w:cnfStyle w:val="000010000000" w:firstRow="0" w:lastRow="0" w:firstColumn="0" w:lastColumn="0" w:oddVBand="1" w:evenVBand="0" w:oddHBand="0" w:evenHBand="0" w:firstRowFirstColumn="0" w:firstRowLastColumn="0" w:lastRowFirstColumn="0" w:lastRowLastColumn="0"/>
            <w:tcW w:w="4997" w:type="dxa"/>
          </w:tcPr>
          <w:p w:rsidR="00034C0C" w:rsidRPr="00034C0C" w:rsidRDefault="00034C0C" w:rsidP="008D4519">
            <w:pPr>
              <w:autoSpaceDE w:val="0"/>
              <w:autoSpaceDN w:val="0"/>
              <w:adjustRightInd w:val="0"/>
              <w:ind w:left="60" w:right="60"/>
              <w:rPr>
                <w:rFonts w:ascii="Arial" w:hAnsi="Arial" w:cs="Arial"/>
                <w:color w:val="000000"/>
                <w:sz w:val="20"/>
                <w:szCs w:val="20"/>
              </w:rPr>
            </w:pPr>
            <w:r w:rsidRPr="00034C0C">
              <w:rPr>
                <w:rFonts w:ascii="Arial" w:hAnsi="Arial" w:cs="Arial"/>
                <w:color w:val="000000"/>
                <w:sz w:val="20"/>
                <w:szCs w:val="20"/>
              </w:rPr>
              <w:t>12-18 months</w:t>
            </w:r>
          </w:p>
        </w:tc>
        <w:tc>
          <w:tcPr>
            <w:tcW w:w="1950" w:type="dxa"/>
          </w:tcPr>
          <w:p w:rsidR="00034C0C" w:rsidRPr="00034C0C" w:rsidRDefault="00034C0C" w:rsidP="00034C0C">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34C0C">
              <w:rPr>
                <w:rFonts w:ascii="Arial" w:hAnsi="Arial" w:cs="Arial"/>
                <w:color w:val="000000"/>
                <w:sz w:val="20"/>
                <w:szCs w:val="20"/>
              </w:rPr>
              <w:t>7</w:t>
            </w:r>
          </w:p>
        </w:tc>
        <w:tc>
          <w:tcPr>
            <w:cnfStyle w:val="000010000000" w:firstRow="0" w:lastRow="0" w:firstColumn="0" w:lastColumn="0" w:oddVBand="1" w:evenVBand="0" w:oddHBand="0" w:evenHBand="0" w:firstRowFirstColumn="0" w:firstRowLastColumn="0" w:lastRowFirstColumn="0" w:lastRowLastColumn="0"/>
            <w:tcW w:w="1416" w:type="dxa"/>
          </w:tcPr>
          <w:p w:rsidR="00034C0C" w:rsidRPr="00034C0C" w:rsidRDefault="00034C0C" w:rsidP="00034C0C">
            <w:pPr>
              <w:autoSpaceDE w:val="0"/>
              <w:autoSpaceDN w:val="0"/>
              <w:adjustRightInd w:val="0"/>
              <w:ind w:left="60" w:right="60"/>
              <w:jc w:val="center"/>
              <w:rPr>
                <w:rFonts w:ascii="Arial" w:hAnsi="Arial" w:cs="Arial"/>
                <w:color w:val="000000"/>
                <w:sz w:val="20"/>
                <w:szCs w:val="20"/>
              </w:rPr>
            </w:pPr>
            <w:r w:rsidRPr="00034C0C">
              <w:rPr>
                <w:rFonts w:ascii="Arial" w:hAnsi="Arial" w:cs="Arial"/>
                <w:color w:val="000000"/>
                <w:sz w:val="20"/>
                <w:szCs w:val="20"/>
              </w:rPr>
              <w:t>6.4</w:t>
            </w:r>
          </w:p>
        </w:tc>
      </w:tr>
      <w:tr w:rsidR="00034C0C" w:rsidRPr="00034C0C" w:rsidTr="00034C0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997" w:type="dxa"/>
          </w:tcPr>
          <w:p w:rsidR="00034C0C" w:rsidRPr="00034C0C" w:rsidRDefault="00034C0C" w:rsidP="008D4519">
            <w:pPr>
              <w:autoSpaceDE w:val="0"/>
              <w:autoSpaceDN w:val="0"/>
              <w:adjustRightInd w:val="0"/>
              <w:ind w:left="60" w:right="60"/>
              <w:rPr>
                <w:rFonts w:ascii="Arial" w:hAnsi="Arial" w:cs="Arial"/>
                <w:color w:val="000000"/>
                <w:sz w:val="20"/>
                <w:szCs w:val="20"/>
              </w:rPr>
            </w:pPr>
            <w:r w:rsidRPr="00034C0C">
              <w:rPr>
                <w:rFonts w:ascii="Arial" w:hAnsi="Arial" w:cs="Arial"/>
                <w:color w:val="000000"/>
                <w:sz w:val="20"/>
                <w:szCs w:val="20"/>
              </w:rPr>
              <w:t>18 months - 2 years</w:t>
            </w:r>
          </w:p>
        </w:tc>
        <w:tc>
          <w:tcPr>
            <w:tcW w:w="1950" w:type="dxa"/>
          </w:tcPr>
          <w:p w:rsidR="00034C0C" w:rsidRPr="00034C0C" w:rsidRDefault="00034C0C" w:rsidP="00034C0C">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34C0C">
              <w:rPr>
                <w:rFonts w:ascii="Arial" w:hAnsi="Arial" w:cs="Arial"/>
                <w:color w:val="000000"/>
                <w:sz w:val="20"/>
                <w:szCs w:val="20"/>
              </w:rPr>
              <w:t>6</w:t>
            </w:r>
          </w:p>
        </w:tc>
        <w:tc>
          <w:tcPr>
            <w:cnfStyle w:val="000010000000" w:firstRow="0" w:lastRow="0" w:firstColumn="0" w:lastColumn="0" w:oddVBand="1" w:evenVBand="0" w:oddHBand="0" w:evenHBand="0" w:firstRowFirstColumn="0" w:firstRowLastColumn="0" w:lastRowFirstColumn="0" w:lastRowLastColumn="0"/>
            <w:tcW w:w="1416" w:type="dxa"/>
          </w:tcPr>
          <w:p w:rsidR="00034C0C" w:rsidRPr="00034C0C" w:rsidRDefault="00034C0C" w:rsidP="00034C0C">
            <w:pPr>
              <w:autoSpaceDE w:val="0"/>
              <w:autoSpaceDN w:val="0"/>
              <w:adjustRightInd w:val="0"/>
              <w:ind w:left="60" w:right="60"/>
              <w:jc w:val="center"/>
              <w:rPr>
                <w:rFonts w:ascii="Arial" w:hAnsi="Arial" w:cs="Arial"/>
                <w:color w:val="000000"/>
                <w:sz w:val="20"/>
                <w:szCs w:val="20"/>
              </w:rPr>
            </w:pPr>
            <w:r w:rsidRPr="00034C0C">
              <w:rPr>
                <w:rFonts w:ascii="Arial" w:hAnsi="Arial" w:cs="Arial"/>
                <w:color w:val="000000"/>
                <w:sz w:val="20"/>
                <w:szCs w:val="20"/>
              </w:rPr>
              <w:t>5.5</w:t>
            </w:r>
          </w:p>
        </w:tc>
      </w:tr>
      <w:tr w:rsidR="00034C0C" w:rsidRPr="00034C0C" w:rsidTr="00034C0C">
        <w:tc>
          <w:tcPr>
            <w:cnfStyle w:val="000010000000" w:firstRow="0" w:lastRow="0" w:firstColumn="0" w:lastColumn="0" w:oddVBand="1" w:evenVBand="0" w:oddHBand="0" w:evenHBand="0" w:firstRowFirstColumn="0" w:firstRowLastColumn="0" w:lastRowFirstColumn="0" w:lastRowLastColumn="0"/>
            <w:tcW w:w="4997" w:type="dxa"/>
          </w:tcPr>
          <w:p w:rsidR="00034C0C" w:rsidRPr="00034C0C" w:rsidRDefault="00034C0C" w:rsidP="008D4519">
            <w:pPr>
              <w:autoSpaceDE w:val="0"/>
              <w:autoSpaceDN w:val="0"/>
              <w:adjustRightInd w:val="0"/>
              <w:ind w:left="60" w:right="60"/>
              <w:rPr>
                <w:rFonts w:ascii="Arial" w:hAnsi="Arial" w:cs="Arial"/>
                <w:color w:val="000000"/>
                <w:sz w:val="20"/>
                <w:szCs w:val="20"/>
              </w:rPr>
            </w:pPr>
            <w:r w:rsidRPr="00034C0C">
              <w:rPr>
                <w:rFonts w:ascii="Arial" w:hAnsi="Arial" w:cs="Arial"/>
                <w:color w:val="000000"/>
                <w:sz w:val="20"/>
                <w:szCs w:val="20"/>
              </w:rPr>
              <w:t xml:space="preserve">Other </w:t>
            </w:r>
          </w:p>
        </w:tc>
        <w:tc>
          <w:tcPr>
            <w:tcW w:w="1950" w:type="dxa"/>
          </w:tcPr>
          <w:p w:rsidR="00034C0C" w:rsidRPr="00034C0C" w:rsidRDefault="00034C0C" w:rsidP="00034C0C">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34C0C">
              <w:rPr>
                <w:rFonts w:ascii="Arial" w:hAnsi="Arial" w:cs="Arial"/>
                <w:color w:val="000000"/>
                <w:sz w:val="20"/>
                <w:szCs w:val="20"/>
              </w:rPr>
              <w:t>6</w:t>
            </w:r>
          </w:p>
        </w:tc>
        <w:tc>
          <w:tcPr>
            <w:cnfStyle w:val="000010000000" w:firstRow="0" w:lastRow="0" w:firstColumn="0" w:lastColumn="0" w:oddVBand="1" w:evenVBand="0" w:oddHBand="0" w:evenHBand="0" w:firstRowFirstColumn="0" w:firstRowLastColumn="0" w:lastRowFirstColumn="0" w:lastRowLastColumn="0"/>
            <w:tcW w:w="1416" w:type="dxa"/>
          </w:tcPr>
          <w:p w:rsidR="00034C0C" w:rsidRPr="00034C0C" w:rsidRDefault="00034C0C" w:rsidP="00034C0C">
            <w:pPr>
              <w:autoSpaceDE w:val="0"/>
              <w:autoSpaceDN w:val="0"/>
              <w:adjustRightInd w:val="0"/>
              <w:ind w:left="60" w:right="60"/>
              <w:jc w:val="center"/>
              <w:rPr>
                <w:rFonts w:ascii="Arial" w:hAnsi="Arial" w:cs="Arial"/>
                <w:color w:val="000000"/>
                <w:sz w:val="20"/>
                <w:szCs w:val="20"/>
              </w:rPr>
            </w:pPr>
            <w:r w:rsidRPr="00034C0C">
              <w:rPr>
                <w:rFonts w:ascii="Arial" w:hAnsi="Arial" w:cs="Arial"/>
                <w:color w:val="000000"/>
                <w:sz w:val="20"/>
                <w:szCs w:val="20"/>
              </w:rPr>
              <w:t>5.5</w:t>
            </w:r>
          </w:p>
        </w:tc>
      </w:tr>
      <w:tr w:rsidR="00034C0C" w:rsidRPr="00034C0C" w:rsidTr="00034C0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997" w:type="dxa"/>
          </w:tcPr>
          <w:p w:rsidR="00034C0C" w:rsidRPr="00034C0C" w:rsidRDefault="00034C0C" w:rsidP="008D4519">
            <w:pPr>
              <w:autoSpaceDE w:val="0"/>
              <w:autoSpaceDN w:val="0"/>
              <w:adjustRightInd w:val="0"/>
              <w:ind w:left="60" w:right="60"/>
              <w:rPr>
                <w:rFonts w:ascii="Arial" w:hAnsi="Arial" w:cs="Arial"/>
                <w:color w:val="000000"/>
                <w:sz w:val="20"/>
                <w:szCs w:val="20"/>
              </w:rPr>
            </w:pPr>
            <w:r w:rsidRPr="00034C0C">
              <w:rPr>
                <w:rFonts w:ascii="Arial" w:hAnsi="Arial" w:cs="Arial"/>
                <w:color w:val="000000"/>
                <w:sz w:val="20"/>
                <w:szCs w:val="20"/>
              </w:rPr>
              <w:t>Not stated</w:t>
            </w:r>
          </w:p>
        </w:tc>
        <w:tc>
          <w:tcPr>
            <w:tcW w:w="1950" w:type="dxa"/>
          </w:tcPr>
          <w:p w:rsidR="00034C0C" w:rsidRPr="00034C0C" w:rsidRDefault="00034C0C" w:rsidP="00034C0C">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34C0C">
              <w:rPr>
                <w:rFonts w:ascii="Arial" w:hAnsi="Arial" w:cs="Arial"/>
                <w:color w:val="000000"/>
                <w:sz w:val="20"/>
                <w:szCs w:val="20"/>
              </w:rPr>
              <w:t>10</w:t>
            </w:r>
          </w:p>
        </w:tc>
        <w:tc>
          <w:tcPr>
            <w:cnfStyle w:val="000010000000" w:firstRow="0" w:lastRow="0" w:firstColumn="0" w:lastColumn="0" w:oddVBand="1" w:evenVBand="0" w:oddHBand="0" w:evenHBand="0" w:firstRowFirstColumn="0" w:firstRowLastColumn="0" w:lastRowFirstColumn="0" w:lastRowLastColumn="0"/>
            <w:tcW w:w="1416" w:type="dxa"/>
          </w:tcPr>
          <w:p w:rsidR="00034C0C" w:rsidRPr="00034C0C" w:rsidRDefault="00034C0C" w:rsidP="00034C0C">
            <w:pPr>
              <w:autoSpaceDE w:val="0"/>
              <w:autoSpaceDN w:val="0"/>
              <w:adjustRightInd w:val="0"/>
              <w:ind w:left="60" w:right="60"/>
              <w:jc w:val="center"/>
              <w:rPr>
                <w:rFonts w:ascii="Arial" w:hAnsi="Arial" w:cs="Arial"/>
                <w:color w:val="000000"/>
                <w:sz w:val="20"/>
                <w:szCs w:val="20"/>
              </w:rPr>
            </w:pPr>
            <w:r w:rsidRPr="00034C0C">
              <w:rPr>
                <w:rFonts w:ascii="Arial" w:hAnsi="Arial" w:cs="Arial"/>
                <w:color w:val="000000"/>
                <w:sz w:val="20"/>
                <w:szCs w:val="20"/>
              </w:rPr>
              <w:t>9.0</w:t>
            </w:r>
          </w:p>
        </w:tc>
      </w:tr>
      <w:tr w:rsidR="00034C0C" w:rsidRPr="00034C0C" w:rsidTr="00034C0C">
        <w:tc>
          <w:tcPr>
            <w:cnfStyle w:val="000010000000" w:firstRow="0" w:lastRow="0" w:firstColumn="0" w:lastColumn="0" w:oddVBand="1" w:evenVBand="0" w:oddHBand="0" w:evenHBand="0" w:firstRowFirstColumn="0" w:firstRowLastColumn="0" w:lastRowFirstColumn="0" w:lastRowLastColumn="0"/>
            <w:tcW w:w="4997" w:type="dxa"/>
          </w:tcPr>
          <w:p w:rsidR="00034C0C" w:rsidRPr="00034C0C" w:rsidRDefault="00034C0C" w:rsidP="008D4519">
            <w:pPr>
              <w:autoSpaceDE w:val="0"/>
              <w:autoSpaceDN w:val="0"/>
              <w:adjustRightInd w:val="0"/>
              <w:ind w:left="60" w:right="60"/>
              <w:rPr>
                <w:rFonts w:ascii="Arial" w:hAnsi="Arial" w:cs="Arial"/>
                <w:color w:val="000000"/>
                <w:sz w:val="20"/>
                <w:szCs w:val="20"/>
              </w:rPr>
            </w:pPr>
            <w:r w:rsidRPr="00034C0C">
              <w:rPr>
                <w:rFonts w:ascii="Arial" w:hAnsi="Arial" w:cs="Arial"/>
                <w:color w:val="000000"/>
                <w:sz w:val="20"/>
                <w:szCs w:val="20"/>
              </w:rPr>
              <w:t>Total</w:t>
            </w:r>
          </w:p>
        </w:tc>
        <w:tc>
          <w:tcPr>
            <w:tcW w:w="1950" w:type="dxa"/>
          </w:tcPr>
          <w:p w:rsidR="00034C0C" w:rsidRPr="00034C0C" w:rsidRDefault="00034C0C" w:rsidP="00034C0C">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34C0C">
              <w:rPr>
                <w:rFonts w:ascii="Arial" w:hAnsi="Arial" w:cs="Arial"/>
                <w:color w:val="000000"/>
                <w:sz w:val="20"/>
                <w:szCs w:val="20"/>
              </w:rPr>
              <w:t>110</w:t>
            </w:r>
          </w:p>
        </w:tc>
        <w:tc>
          <w:tcPr>
            <w:cnfStyle w:val="000010000000" w:firstRow="0" w:lastRow="0" w:firstColumn="0" w:lastColumn="0" w:oddVBand="1" w:evenVBand="0" w:oddHBand="0" w:evenHBand="0" w:firstRowFirstColumn="0" w:firstRowLastColumn="0" w:lastRowFirstColumn="0" w:lastRowLastColumn="0"/>
            <w:tcW w:w="1416" w:type="dxa"/>
          </w:tcPr>
          <w:p w:rsidR="00034C0C" w:rsidRPr="00034C0C" w:rsidRDefault="00034C0C" w:rsidP="00034C0C">
            <w:pPr>
              <w:autoSpaceDE w:val="0"/>
              <w:autoSpaceDN w:val="0"/>
              <w:adjustRightInd w:val="0"/>
              <w:ind w:left="60" w:right="60"/>
              <w:jc w:val="center"/>
              <w:rPr>
                <w:rFonts w:ascii="Arial" w:hAnsi="Arial" w:cs="Arial"/>
                <w:color w:val="000000"/>
                <w:sz w:val="20"/>
                <w:szCs w:val="20"/>
              </w:rPr>
            </w:pPr>
            <w:r w:rsidRPr="00034C0C">
              <w:rPr>
                <w:rFonts w:ascii="Arial" w:hAnsi="Arial" w:cs="Arial"/>
                <w:color w:val="000000"/>
                <w:sz w:val="20"/>
                <w:szCs w:val="20"/>
              </w:rPr>
              <w:t>100.0</w:t>
            </w:r>
          </w:p>
        </w:tc>
      </w:tr>
    </w:tbl>
    <w:p w:rsidR="00034C0C" w:rsidRPr="00034C0C" w:rsidRDefault="00034C0C" w:rsidP="00034C0C">
      <w:pPr>
        <w:autoSpaceDE w:val="0"/>
        <w:autoSpaceDN w:val="0"/>
        <w:adjustRightInd w:val="0"/>
        <w:spacing w:after="0" w:line="240" w:lineRule="auto"/>
        <w:rPr>
          <w:rFonts w:ascii="Times New Roman" w:hAnsi="Times New Roman" w:cs="Times New Roman"/>
          <w:sz w:val="20"/>
          <w:szCs w:val="20"/>
        </w:rPr>
      </w:pPr>
    </w:p>
    <w:p w:rsidR="00034C0C" w:rsidRPr="00B55EDB" w:rsidRDefault="00034C0C" w:rsidP="00B55EDB">
      <w:pPr>
        <w:spacing w:after="0" w:line="240" w:lineRule="auto"/>
        <w:rPr>
          <w:rFonts w:ascii="Arial" w:hAnsi="Arial" w:cs="Arial"/>
          <w:sz w:val="20"/>
          <w:szCs w:val="20"/>
        </w:rPr>
      </w:pPr>
    </w:p>
    <w:p w:rsidR="00B55EDB" w:rsidRPr="0086333D" w:rsidRDefault="00B55EDB" w:rsidP="0086333D">
      <w:pPr>
        <w:pStyle w:val="Heading3"/>
        <w:rPr>
          <w:rFonts w:ascii="Arial" w:hAnsi="Arial" w:cs="Arial"/>
          <w:sz w:val="20"/>
          <w:szCs w:val="20"/>
        </w:rPr>
      </w:pPr>
      <w:r w:rsidRPr="0086333D">
        <w:rPr>
          <w:rFonts w:ascii="Arial" w:hAnsi="Arial" w:cs="Arial"/>
          <w:sz w:val="20"/>
          <w:szCs w:val="20"/>
        </w:rPr>
        <w:t xml:space="preserve">Priorities for </w:t>
      </w:r>
      <w:proofErr w:type="spellStart"/>
      <w:r w:rsidRPr="0086333D">
        <w:rPr>
          <w:rFonts w:ascii="Arial" w:hAnsi="Arial" w:cs="Arial"/>
          <w:sz w:val="20"/>
          <w:szCs w:val="20"/>
        </w:rPr>
        <w:t>Ibec</w:t>
      </w:r>
      <w:proofErr w:type="spellEnd"/>
    </w:p>
    <w:p w:rsidR="00B55EDB" w:rsidRPr="00B55EDB" w:rsidRDefault="00B55EDB" w:rsidP="00B55EDB">
      <w:pPr>
        <w:spacing w:after="0" w:line="240" w:lineRule="auto"/>
        <w:rPr>
          <w:rFonts w:ascii="Arial" w:hAnsi="Arial" w:cs="Arial"/>
          <w:b/>
          <w:sz w:val="20"/>
          <w:szCs w:val="20"/>
        </w:rPr>
      </w:pPr>
      <w:r w:rsidRPr="00B55EDB">
        <w:rPr>
          <w:rFonts w:ascii="Arial" w:hAnsi="Arial" w:cs="Arial"/>
          <w:sz w:val="20"/>
          <w:szCs w:val="20"/>
        </w:rPr>
        <w:t xml:space="preserve">The top three priorities identified by </w:t>
      </w:r>
      <w:proofErr w:type="spellStart"/>
      <w:r w:rsidRPr="00B55EDB">
        <w:rPr>
          <w:rFonts w:ascii="Arial" w:hAnsi="Arial" w:cs="Arial"/>
          <w:sz w:val="20"/>
          <w:szCs w:val="20"/>
        </w:rPr>
        <w:t>Ibec</w:t>
      </w:r>
      <w:proofErr w:type="spellEnd"/>
      <w:r w:rsidRPr="00B55EDB">
        <w:rPr>
          <w:rFonts w:ascii="Arial" w:hAnsi="Arial" w:cs="Arial"/>
          <w:sz w:val="20"/>
          <w:szCs w:val="20"/>
        </w:rPr>
        <w:t xml:space="preserve"> member companies </w:t>
      </w:r>
      <w:r w:rsidR="00D374F6">
        <w:rPr>
          <w:rFonts w:ascii="Arial" w:hAnsi="Arial" w:cs="Arial"/>
          <w:sz w:val="20"/>
          <w:szCs w:val="20"/>
        </w:rPr>
        <w:t xml:space="preserve">were a renewed </w:t>
      </w:r>
      <w:r w:rsidRPr="00B55EDB">
        <w:rPr>
          <w:rFonts w:ascii="Arial" w:hAnsi="Arial" w:cs="Arial"/>
          <w:sz w:val="20"/>
          <w:szCs w:val="20"/>
        </w:rPr>
        <w:t xml:space="preserve">focus on the cost of doing business, </w:t>
      </w:r>
      <w:r w:rsidR="00D374F6">
        <w:rPr>
          <w:rFonts w:ascii="Arial" w:hAnsi="Arial" w:cs="Arial"/>
          <w:sz w:val="20"/>
          <w:szCs w:val="20"/>
        </w:rPr>
        <w:t>the retention of</w:t>
      </w:r>
      <w:r w:rsidRPr="00B55EDB">
        <w:rPr>
          <w:rFonts w:ascii="Arial" w:hAnsi="Arial" w:cs="Arial"/>
          <w:sz w:val="20"/>
          <w:szCs w:val="20"/>
        </w:rPr>
        <w:t xml:space="preserve"> the single market status for the UK, and to pursue our tax competitiveness versus the UK.  The free movement of people between Ireland and the UK was a top ranked item for 55 companies, and appeared in the top three of 184 of the respondent companies.</w:t>
      </w:r>
    </w:p>
    <w:p w:rsidR="005E5714" w:rsidRDefault="005E5714" w:rsidP="00034C0C">
      <w:pPr>
        <w:spacing w:after="0" w:line="240" w:lineRule="auto"/>
        <w:rPr>
          <w:rFonts w:ascii="Arial" w:hAnsi="Arial" w:cs="Arial"/>
          <w:sz w:val="20"/>
          <w:szCs w:val="20"/>
        </w:rPr>
      </w:pPr>
    </w:p>
    <w:p w:rsidR="005E5714" w:rsidRDefault="005E5714" w:rsidP="005E5714">
      <w:pPr>
        <w:pStyle w:val="Heading3"/>
      </w:pPr>
      <w:r>
        <w:t>Conclusion</w:t>
      </w:r>
    </w:p>
    <w:p w:rsidR="009E49B7" w:rsidRDefault="00132ADE" w:rsidP="000F5DB9">
      <w:pPr>
        <w:autoSpaceDE w:val="0"/>
        <w:autoSpaceDN w:val="0"/>
        <w:adjustRightInd w:val="0"/>
        <w:spacing w:after="0" w:line="240" w:lineRule="auto"/>
        <w:rPr>
          <w:rFonts w:ascii="Arial" w:hAnsi="Arial" w:cs="Arial"/>
          <w:sz w:val="20"/>
          <w:szCs w:val="20"/>
        </w:rPr>
      </w:pPr>
      <w:r>
        <w:rPr>
          <w:rFonts w:ascii="Helv" w:hAnsi="Helv" w:cs="Helv"/>
          <w:color w:val="000000"/>
          <w:sz w:val="20"/>
          <w:szCs w:val="20"/>
        </w:rPr>
        <w:t xml:space="preserve">The </w:t>
      </w:r>
      <w:proofErr w:type="spellStart"/>
      <w:r>
        <w:rPr>
          <w:rFonts w:ascii="Helv" w:hAnsi="Helv" w:cs="Helv"/>
          <w:color w:val="000000"/>
          <w:sz w:val="20"/>
          <w:szCs w:val="20"/>
        </w:rPr>
        <w:t>Ibec</w:t>
      </w:r>
      <w:proofErr w:type="spellEnd"/>
      <w:r>
        <w:rPr>
          <w:rFonts w:ascii="Helv" w:hAnsi="Helv" w:cs="Helv"/>
          <w:color w:val="000000"/>
          <w:sz w:val="20"/>
          <w:szCs w:val="20"/>
        </w:rPr>
        <w:t xml:space="preserve"> survey </w:t>
      </w:r>
      <w:r w:rsidR="003672F7">
        <w:rPr>
          <w:rFonts w:ascii="Helv" w:hAnsi="Helv" w:cs="Helv"/>
          <w:color w:val="000000"/>
          <w:sz w:val="20"/>
          <w:szCs w:val="20"/>
        </w:rPr>
        <w:t>results show</w:t>
      </w:r>
      <w:r w:rsidR="000F5DB9">
        <w:rPr>
          <w:rFonts w:ascii="Helv" w:hAnsi="Helv" w:cs="Helv"/>
          <w:color w:val="000000"/>
          <w:sz w:val="20"/>
          <w:szCs w:val="20"/>
        </w:rPr>
        <w:t xml:space="preserve"> that the main concern for </w:t>
      </w:r>
      <w:r>
        <w:rPr>
          <w:rFonts w:ascii="Helv" w:hAnsi="Helv" w:cs="Helv"/>
          <w:color w:val="000000"/>
          <w:sz w:val="20"/>
          <w:szCs w:val="20"/>
        </w:rPr>
        <w:t xml:space="preserve">firms in the wake of the UK referendum vote </w:t>
      </w:r>
      <w:r w:rsidR="009E49B7">
        <w:rPr>
          <w:rFonts w:ascii="Helv" w:hAnsi="Helv" w:cs="Helv"/>
          <w:color w:val="000000"/>
          <w:sz w:val="20"/>
          <w:szCs w:val="20"/>
        </w:rPr>
        <w:t>relates to</w:t>
      </w:r>
      <w:r>
        <w:rPr>
          <w:rFonts w:ascii="Helv" w:hAnsi="Helv" w:cs="Helv"/>
          <w:color w:val="000000"/>
          <w:sz w:val="20"/>
          <w:szCs w:val="20"/>
        </w:rPr>
        <w:t xml:space="preserve"> negative exchange movements</w:t>
      </w:r>
      <w:r w:rsidR="009E49B7">
        <w:rPr>
          <w:rFonts w:ascii="Helv" w:hAnsi="Helv" w:cs="Helv"/>
          <w:color w:val="000000"/>
          <w:sz w:val="20"/>
          <w:szCs w:val="20"/>
        </w:rPr>
        <w:t xml:space="preserve"> and their potential impact on individual businesses</w:t>
      </w:r>
      <w:r w:rsidR="003672F7">
        <w:rPr>
          <w:rFonts w:ascii="Helv" w:hAnsi="Helv" w:cs="Helv"/>
          <w:color w:val="000000"/>
          <w:sz w:val="20"/>
          <w:szCs w:val="20"/>
        </w:rPr>
        <w:t xml:space="preserve"> and on Irish business in general</w:t>
      </w:r>
      <w:r w:rsidR="009E49B7">
        <w:rPr>
          <w:rFonts w:ascii="Helv" w:hAnsi="Helv" w:cs="Helv"/>
          <w:color w:val="000000"/>
          <w:sz w:val="20"/>
          <w:szCs w:val="20"/>
        </w:rPr>
        <w:t>. Potential n</w:t>
      </w:r>
      <w:r w:rsidR="009E49B7">
        <w:rPr>
          <w:rFonts w:ascii="Arial" w:hAnsi="Arial" w:cs="Arial"/>
          <w:sz w:val="20"/>
          <w:szCs w:val="20"/>
        </w:rPr>
        <w:t>egative impacts relating to c</w:t>
      </w:r>
      <w:r w:rsidR="009E49B7" w:rsidRPr="00B55EDB">
        <w:rPr>
          <w:rFonts w:ascii="Arial" w:hAnsi="Arial" w:cs="Arial"/>
          <w:sz w:val="20"/>
          <w:szCs w:val="20"/>
        </w:rPr>
        <w:t>ompetition from NI/GB companies</w:t>
      </w:r>
      <w:r w:rsidR="009E49B7">
        <w:rPr>
          <w:rFonts w:ascii="Arial" w:hAnsi="Arial" w:cs="Arial"/>
          <w:sz w:val="20"/>
          <w:szCs w:val="20"/>
        </w:rPr>
        <w:t xml:space="preserve"> and to</w:t>
      </w:r>
      <w:r w:rsidR="009E49B7">
        <w:rPr>
          <w:rFonts w:ascii="Arial" w:hAnsi="Arial" w:cs="Arial"/>
          <w:sz w:val="20"/>
          <w:szCs w:val="20"/>
        </w:rPr>
        <w:t xml:space="preserve"> the cost of exporting to NI/GB</w:t>
      </w:r>
      <w:r w:rsidR="009E49B7">
        <w:rPr>
          <w:rFonts w:ascii="Arial" w:hAnsi="Arial" w:cs="Arial"/>
          <w:sz w:val="20"/>
          <w:szCs w:val="20"/>
        </w:rPr>
        <w:t xml:space="preserve"> was expected in one-third of respondent companies.</w:t>
      </w:r>
    </w:p>
    <w:p w:rsidR="009E49B7" w:rsidRDefault="009E49B7" w:rsidP="000F5DB9">
      <w:pPr>
        <w:autoSpaceDE w:val="0"/>
        <w:autoSpaceDN w:val="0"/>
        <w:adjustRightInd w:val="0"/>
        <w:spacing w:after="0" w:line="240" w:lineRule="auto"/>
        <w:rPr>
          <w:rFonts w:ascii="Arial" w:hAnsi="Arial" w:cs="Arial"/>
          <w:sz w:val="20"/>
          <w:szCs w:val="20"/>
        </w:rPr>
      </w:pPr>
    </w:p>
    <w:p w:rsidR="009E49B7" w:rsidRDefault="009E49B7" w:rsidP="009E49B7">
      <w:pPr>
        <w:autoSpaceDE w:val="0"/>
        <w:autoSpaceDN w:val="0"/>
        <w:adjustRightInd w:val="0"/>
        <w:spacing w:after="0" w:line="240" w:lineRule="auto"/>
        <w:rPr>
          <w:rFonts w:ascii="Helv" w:hAnsi="Helv" w:cs="Helv"/>
          <w:color w:val="000000"/>
          <w:sz w:val="20"/>
          <w:szCs w:val="20"/>
        </w:rPr>
      </w:pPr>
      <w:r>
        <w:rPr>
          <w:rFonts w:ascii="Arial" w:hAnsi="Arial" w:cs="Arial"/>
          <w:sz w:val="20"/>
          <w:szCs w:val="20"/>
        </w:rPr>
        <w:t>Among the top three challenges for business in general were</w:t>
      </w:r>
      <w:r w:rsidR="00132ADE">
        <w:rPr>
          <w:rFonts w:ascii="Helv" w:hAnsi="Helv" w:cs="Helv"/>
          <w:color w:val="000000"/>
          <w:sz w:val="20"/>
          <w:szCs w:val="20"/>
        </w:rPr>
        <w:t xml:space="preserve"> exchange rate volatility, weaker investor confidence, and</w:t>
      </w:r>
      <w:r>
        <w:rPr>
          <w:rFonts w:ascii="Helv" w:hAnsi="Helv" w:cs="Helv"/>
          <w:color w:val="000000"/>
          <w:sz w:val="20"/>
          <w:szCs w:val="20"/>
        </w:rPr>
        <w:t xml:space="preserve"> competitiveness against the UK.</w:t>
      </w:r>
    </w:p>
    <w:p w:rsidR="009E49B7" w:rsidRDefault="009E49B7" w:rsidP="009E49B7">
      <w:pPr>
        <w:autoSpaceDE w:val="0"/>
        <w:autoSpaceDN w:val="0"/>
        <w:adjustRightInd w:val="0"/>
        <w:spacing w:after="0" w:line="240" w:lineRule="auto"/>
        <w:rPr>
          <w:rFonts w:ascii="Helv" w:hAnsi="Helv" w:cs="Helv"/>
          <w:color w:val="000000"/>
          <w:sz w:val="20"/>
          <w:szCs w:val="20"/>
        </w:rPr>
      </w:pPr>
    </w:p>
    <w:p w:rsidR="00132ADE" w:rsidRDefault="00D374F6" w:rsidP="009E49B7">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O</w:t>
      </w:r>
      <w:r w:rsidR="00132ADE">
        <w:rPr>
          <w:rFonts w:ascii="Helv" w:hAnsi="Helv" w:cs="Helv"/>
          <w:color w:val="000000"/>
          <w:sz w:val="20"/>
          <w:szCs w:val="20"/>
        </w:rPr>
        <w:t>n</w:t>
      </w:r>
      <w:r>
        <w:rPr>
          <w:rFonts w:ascii="Helv" w:hAnsi="Helv" w:cs="Helv"/>
          <w:color w:val="000000"/>
          <w:sz w:val="20"/>
          <w:szCs w:val="20"/>
        </w:rPr>
        <w:t xml:space="preserve">e </w:t>
      </w:r>
      <w:r w:rsidR="003672F7">
        <w:rPr>
          <w:rFonts w:ascii="Helv" w:hAnsi="Helv" w:cs="Helv"/>
          <w:color w:val="000000"/>
          <w:sz w:val="20"/>
          <w:szCs w:val="20"/>
        </w:rPr>
        <w:t xml:space="preserve">in ten Irish firms already </w:t>
      </w:r>
      <w:r w:rsidR="00132ADE">
        <w:rPr>
          <w:rFonts w:ascii="Helv" w:hAnsi="Helv" w:cs="Helv"/>
          <w:color w:val="000000"/>
          <w:sz w:val="20"/>
          <w:szCs w:val="20"/>
        </w:rPr>
        <w:t>ha</w:t>
      </w:r>
      <w:r w:rsidR="003672F7">
        <w:rPr>
          <w:rFonts w:ascii="Helv" w:hAnsi="Helv" w:cs="Helv"/>
          <w:color w:val="000000"/>
          <w:sz w:val="20"/>
          <w:szCs w:val="20"/>
        </w:rPr>
        <w:t>s</w:t>
      </w:r>
      <w:r w:rsidR="00132ADE">
        <w:rPr>
          <w:rFonts w:ascii="Helv" w:hAnsi="Helv" w:cs="Helv"/>
          <w:color w:val="000000"/>
          <w:sz w:val="20"/>
          <w:szCs w:val="20"/>
        </w:rPr>
        <w:t xml:space="preserve"> a conti</w:t>
      </w:r>
      <w:r>
        <w:rPr>
          <w:rFonts w:ascii="Helv" w:hAnsi="Helv" w:cs="Helv"/>
          <w:color w:val="000000"/>
          <w:sz w:val="20"/>
          <w:szCs w:val="20"/>
        </w:rPr>
        <w:t xml:space="preserve">ngency plan in place for </w:t>
      </w:r>
      <w:proofErr w:type="spellStart"/>
      <w:r>
        <w:rPr>
          <w:rFonts w:ascii="Helv" w:hAnsi="Helv" w:cs="Helv"/>
          <w:color w:val="000000"/>
          <w:sz w:val="20"/>
          <w:szCs w:val="20"/>
        </w:rPr>
        <w:t>Brexit</w:t>
      </w:r>
      <w:proofErr w:type="spellEnd"/>
      <w:r>
        <w:rPr>
          <w:rFonts w:ascii="Helv" w:hAnsi="Helv" w:cs="Helv"/>
          <w:color w:val="000000"/>
          <w:sz w:val="20"/>
          <w:szCs w:val="20"/>
        </w:rPr>
        <w:t xml:space="preserve">. Of the 32 </w:t>
      </w:r>
      <w:r w:rsidR="003672F7">
        <w:rPr>
          <w:rFonts w:ascii="Helv" w:hAnsi="Helv" w:cs="Helv"/>
          <w:color w:val="000000"/>
          <w:sz w:val="20"/>
          <w:szCs w:val="20"/>
        </w:rPr>
        <w:t xml:space="preserve">respondent </w:t>
      </w:r>
      <w:r>
        <w:rPr>
          <w:rFonts w:ascii="Helv" w:hAnsi="Helv" w:cs="Helv"/>
          <w:color w:val="000000"/>
          <w:sz w:val="20"/>
          <w:szCs w:val="20"/>
        </w:rPr>
        <w:t>companies that indicated that they have a contingency plan in place, the majority, 24 companies were exporting companies. Exporting companies were also more likely than non-exporting companies to be working on contingency plans currently.</w:t>
      </w:r>
    </w:p>
    <w:p w:rsidR="00D374F6" w:rsidRDefault="00D374F6" w:rsidP="009E49B7">
      <w:pPr>
        <w:autoSpaceDE w:val="0"/>
        <w:autoSpaceDN w:val="0"/>
        <w:adjustRightInd w:val="0"/>
        <w:spacing w:after="0" w:line="240" w:lineRule="auto"/>
        <w:rPr>
          <w:rFonts w:ascii="Helv" w:hAnsi="Helv" w:cs="Helv"/>
          <w:color w:val="000000"/>
          <w:sz w:val="20"/>
          <w:szCs w:val="20"/>
        </w:rPr>
      </w:pPr>
    </w:p>
    <w:p w:rsidR="00D374F6" w:rsidRPr="00D374F6" w:rsidRDefault="00D374F6" w:rsidP="003672F7">
      <w:pPr>
        <w:autoSpaceDE w:val="0"/>
        <w:autoSpaceDN w:val="0"/>
        <w:adjustRightInd w:val="0"/>
        <w:spacing w:after="0" w:line="240" w:lineRule="auto"/>
        <w:rPr>
          <w:rFonts w:ascii="Arial" w:hAnsi="Arial" w:cs="Arial"/>
          <w:sz w:val="20"/>
          <w:szCs w:val="20"/>
        </w:rPr>
      </w:pPr>
      <w:r>
        <w:rPr>
          <w:rFonts w:ascii="Helv" w:hAnsi="Helv" w:cs="Helv"/>
          <w:color w:val="000000"/>
          <w:sz w:val="20"/>
          <w:szCs w:val="20"/>
        </w:rPr>
        <w:t xml:space="preserve">Some 110 respondent companies currently have a hedging or pricing agreement in place. However, the protection of these agreements will expire for the majority of companies in the next 12 months. </w:t>
      </w:r>
      <w:r w:rsidRPr="00D374F6">
        <w:rPr>
          <w:rFonts w:ascii="Arial" w:hAnsi="Arial" w:cs="Arial"/>
          <w:sz w:val="20"/>
          <w:szCs w:val="20"/>
        </w:rPr>
        <w:t xml:space="preserve">It is critical therefore that a co-ordinated policy response is in place to support </w:t>
      </w:r>
      <w:r>
        <w:rPr>
          <w:rFonts w:ascii="Arial" w:hAnsi="Arial" w:cs="Arial"/>
          <w:sz w:val="20"/>
          <w:szCs w:val="20"/>
        </w:rPr>
        <w:t xml:space="preserve">the </w:t>
      </w:r>
      <w:r w:rsidRPr="00D374F6">
        <w:rPr>
          <w:rFonts w:ascii="Arial" w:hAnsi="Arial" w:cs="Arial"/>
          <w:sz w:val="20"/>
          <w:szCs w:val="20"/>
        </w:rPr>
        <w:t xml:space="preserve">competitiveness of Irish companies and to mitigate the risk that </w:t>
      </w:r>
      <w:proofErr w:type="spellStart"/>
      <w:r w:rsidRPr="00D374F6">
        <w:rPr>
          <w:rFonts w:ascii="Arial" w:hAnsi="Arial" w:cs="Arial"/>
          <w:sz w:val="20"/>
          <w:szCs w:val="20"/>
        </w:rPr>
        <w:t>Brexit</w:t>
      </w:r>
      <w:proofErr w:type="spellEnd"/>
      <w:r w:rsidRPr="00D374F6">
        <w:rPr>
          <w:rFonts w:ascii="Arial" w:hAnsi="Arial" w:cs="Arial"/>
          <w:sz w:val="20"/>
          <w:szCs w:val="20"/>
        </w:rPr>
        <w:t xml:space="preserve"> poses to Irish Business. </w:t>
      </w:r>
      <w:bookmarkStart w:id="0" w:name="_GoBack"/>
      <w:bookmarkEnd w:id="0"/>
    </w:p>
    <w:sectPr w:rsidR="00D374F6" w:rsidRPr="00D374F6" w:rsidSect="007C7C35">
      <w:headerReference w:type="default" r:id="rId12"/>
      <w:footerReference w:type="default" r:id="rId13"/>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F08" w:rsidRDefault="00C36F08" w:rsidP="00B55EDB">
      <w:pPr>
        <w:spacing w:after="0" w:line="240" w:lineRule="auto"/>
      </w:pPr>
      <w:r>
        <w:separator/>
      </w:r>
    </w:p>
  </w:endnote>
  <w:endnote w:type="continuationSeparator" w:id="0">
    <w:p w:rsidR="00C36F08" w:rsidRDefault="00C36F08" w:rsidP="00B55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25" w:rsidRDefault="00C36F08" w:rsidP="00B55EDB">
    <w:pPr>
      <w:pStyle w:val="Footer"/>
      <w:tabs>
        <w:tab w:val="left" w:pos="5954"/>
        <w:tab w:val="left" w:pos="11482"/>
        <w:tab w:val="right" w:pos="12474"/>
      </w:tabs>
      <w:ind w:right="-1843"/>
      <w:rPr>
        <w:rFonts w:ascii="Arial" w:hAnsi="Arial"/>
        <w:b/>
        <w:i/>
        <w:sz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EDB" w:rsidRDefault="007C7C35" w:rsidP="00B55EDB">
    <w:pPr>
      <w:pStyle w:val="Footer"/>
      <w:tabs>
        <w:tab w:val="left" w:pos="5954"/>
        <w:tab w:val="left" w:pos="11482"/>
        <w:tab w:val="right" w:pos="12474"/>
      </w:tabs>
      <w:ind w:right="-1843"/>
      <w:rPr>
        <w:rFonts w:ascii="Arial" w:hAnsi="Arial"/>
        <w:b/>
        <w:i/>
        <w:sz w:val="14"/>
      </w:rPr>
    </w:pPr>
    <w:proofErr w:type="spellStart"/>
    <w:r>
      <w:rPr>
        <w:rFonts w:ascii="Arial" w:hAnsi="Arial"/>
        <w:b/>
        <w:i/>
        <w:sz w:val="14"/>
      </w:rPr>
      <w:t>Ibec</w:t>
    </w:r>
    <w:proofErr w:type="spellEnd"/>
    <w:r>
      <w:rPr>
        <w:rFonts w:ascii="Arial" w:hAnsi="Arial"/>
        <w:b/>
        <w:i/>
        <w:sz w:val="14"/>
      </w:rPr>
      <w:t xml:space="preserve"> </w:t>
    </w:r>
    <w:proofErr w:type="gramStart"/>
    <w:r>
      <w:rPr>
        <w:rFonts w:ascii="Arial" w:hAnsi="Arial"/>
        <w:b/>
        <w:i/>
        <w:sz w:val="14"/>
      </w:rPr>
      <w:t>Research  Unit</w:t>
    </w:r>
    <w:proofErr w:type="gramEnd"/>
    <w:r>
      <w:rPr>
        <w:rFonts w:ascii="Arial" w:hAnsi="Arial"/>
        <w:b/>
        <w:i/>
        <w:sz w:val="14"/>
      </w:rPr>
      <w:t xml:space="preserve"> 2016 ©</w:t>
    </w:r>
    <w:r>
      <w:rPr>
        <w:rFonts w:ascii="Arial" w:hAnsi="Arial"/>
        <w:b/>
        <w:i/>
        <w:sz w:val="14"/>
      </w:rPr>
      <w:tab/>
    </w:r>
    <w:r>
      <w:rPr>
        <w:rFonts w:ascii="Arial" w:hAnsi="Arial"/>
        <w:b/>
        <w:i/>
        <w:sz w:val="14"/>
      </w:rPr>
      <w:tab/>
    </w:r>
    <w:r>
      <w:rPr>
        <w:rFonts w:ascii="Arial" w:hAnsi="Arial"/>
        <w:b/>
        <w:i/>
        <w:sz w:val="14"/>
      </w:rPr>
      <w:tab/>
      <w:t xml:space="preserve">Page </w:t>
    </w:r>
    <w:r w:rsidRPr="007C7C35">
      <w:rPr>
        <w:rFonts w:ascii="Arial" w:hAnsi="Arial"/>
        <w:b/>
        <w:i/>
        <w:sz w:val="14"/>
      </w:rPr>
      <w:fldChar w:fldCharType="begin"/>
    </w:r>
    <w:r w:rsidRPr="007C7C35">
      <w:rPr>
        <w:rFonts w:ascii="Arial" w:hAnsi="Arial"/>
        <w:b/>
        <w:i/>
        <w:sz w:val="14"/>
      </w:rPr>
      <w:instrText xml:space="preserve"> PAGE   \* MERGEFORMAT </w:instrText>
    </w:r>
    <w:r w:rsidRPr="007C7C35">
      <w:rPr>
        <w:rFonts w:ascii="Arial" w:hAnsi="Arial"/>
        <w:b/>
        <w:i/>
        <w:sz w:val="14"/>
      </w:rPr>
      <w:fldChar w:fldCharType="separate"/>
    </w:r>
    <w:r w:rsidR="003672F7">
      <w:rPr>
        <w:rFonts w:ascii="Arial" w:hAnsi="Arial"/>
        <w:b/>
        <w:i/>
        <w:noProof/>
        <w:sz w:val="14"/>
      </w:rPr>
      <w:t>2</w:t>
    </w:r>
    <w:r w:rsidRPr="007C7C35">
      <w:rPr>
        <w:rFonts w:ascii="Arial" w:hAnsi="Arial"/>
        <w:b/>
        <w:i/>
        <w:noProof/>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F08" w:rsidRDefault="00C36F08" w:rsidP="00B55EDB">
      <w:pPr>
        <w:spacing w:after="0" w:line="240" w:lineRule="auto"/>
      </w:pPr>
      <w:r>
        <w:separator/>
      </w:r>
    </w:p>
  </w:footnote>
  <w:footnote w:type="continuationSeparator" w:id="0">
    <w:p w:rsidR="00C36F08" w:rsidRDefault="00C36F08" w:rsidP="00B55E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25" w:rsidRDefault="00C36F08">
    <w:pPr>
      <w:pStyle w:val="Heade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25" w:rsidRDefault="00C36F08" w:rsidP="00C41EE3">
    <w:pPr>
      <w:pStyle w:val="Heading4"/>
      <w:ind w:left="90"/>
    </w:pPr>
    <w:r>
      <w:t xml:space="preserve">PART IV:  CONDITIONS OF EMPLOYMENT </w:t>
    </w:r>
  </w:p>
  <w:p w:rsidR="00DC5C25" w:rsidRDefault="00C36F08" w:rsidP="00C41EE3">
    <w:r>
      <w:t>_______________________________________________________________________________________________________</w:t>
    </w:r>
  </w:p>
  <w:p w:rsidR="00DC5C25" w:rsidRDefault="00C36F08" w:rsidP="00C41EE3">
    <w:pPr>
      <w:pStyle w:val="Header"/>
    </w:pPr>
  </w:p>
  <w:p w:rsidR="00DC5C25" w:rsidRDefault="00C36F0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EDB" w:rsidRDefault="00B55EDB">
    <w:pPr>
      <w:pStyle w:val="Header"/>
    </w:pPr>
    <w:r>
      <w:rPr>
        <w:noProof/>
        <w:lang w:eastAsia="en-IE"/>
      </w:rPr>
      <w:drawing>
        <wp:inline distT="0" distB="0" distL="0" distR="0" wp14:anchorId="5227F30E" wp14:editId="61A43474">
          <wp:extent cx="1652905" cy="570230"/>
          <wp:effectExtent l="0" t="0" r="4445" b="1270"/>
          <wp:docPr id="2" name="Picture 2" descr="C:\Users\keoghe\AppData\Local\Temp\wzb1b5\ibec_logos_x_6\ibec_2col_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eoghe\AppData\Local\Temp\wzb1b5\ibec_logos_x_6\ibec_2col_landscap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52905" cy="570230"/>
                  </a:xfrm>
                  <a:prstGeom prst="rect">
                    <a:avLst/>
                  </a:prstGeom>
                  <a:noFill/>
                  <a:ln>
                    <a:noFill/>
                  </a:ln>
                </pic:spPr>
              </pic:pic>
            </a:graphicData>
          </a:graphic>
        </wp:inline>
      </w:drawing>
    </w:r>
    <w:r>
      <w:tab/>
    </w:r>
    <w:r>
      <w:tab/>
    </w:r>
    <w:r>
      <w:rPr>
        <w:b/>
        <w:i/>
      </w:rPr>
      <w:t>BREXIT REPORT</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C3617CC"/>
    <w:lvl w:ilvl="0">
      <w:numFmt w:val="bullet"/>
      <w:lvlText w:val="*"/>
      <w:lvlJc w:val="left"/>
    </w:lvl>
  </w:abstractNum>
  <w:abstractNum w:abstractNumId="1">
    <w:nsid w:val="74B356AB"/>
    <w:multiLevelType w:val="hybridMultilevel"/>
    <w:tmpl w:val="65F6171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EDB"/>
    <w:rsid w:val="00034C0C"/>
    <w:rsid w:val="000F5DB9"/>
    <w:rsid w:val="00132ADE"/>
    <w:rsid w:val="00137FC8"/>
    <w:rsid w:val="003672F7"/>
    <w:rsid w:val="005E5714"/>
    <w:rsid w:val="007C7C35"/>
    <w:rsid w:val="0086333D"/>
    <w:rsid w:val="00927C81"/>
    <w:rsid w:val="009E49B7"/>
    <w:rsid w:val="00B55EDB"/>
    <w:rsid w:val="00C36F08"/>
    <w:rsid w:val="00D374F6"/>
    <w:rsid w:val="00F845B5"/>
    <w:rsid w:val="00FD1F4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EDB"/>
  </w:style>
  <w:style w:type="paragraph" w:styleId="Heading1">
    <w:name w:val="heading 1"/>
    <w:basedOn w:val="Normal"/>
    <w:next w:val="Normal"/>
    <w:link w:val="Heading1Char"/>
    <w:uiPriority w:val="9"/>
    <w:qFormat/>
    <w:rsid w:val="00B55E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B55EDB"/>
    <w:pPr>
      <w:keepNext/>
      <w:spacing w:before="40" w:after="40" w:line="240" w:lineRule="auto"/>
      <w:jc w:val="center"/>
      <w:outlineLvl w:val="1"/>
    </w:pPr>
    <w:rPr>
      <w:rFonts w:ascii="Book Antiqua" w:eastAsia="Times New Roman" w:hAnsi="Book Antiqua" w:cs="Times New Roman"/>
      <w:b/>
      <w:sz w:val="18"/>
      <w:szCs w:val="20"/>
      <w:lang w:val="en-US"/>
    </w:rPr>
  </w:style>
  <w:style w:type="paragraph" w:styleId="Heading3">
    <w:name w:val="heading 3"/>
    <w:basedOn w:val="Normal"/>
    <w:next w:val="Normal"/>
    <w:link w:val="Heading3Char"/>
    <w:uiPriority w:val="9"/>
    <w:unhideWhenUsed/>
    <w:qFormat/>
    <w:rsid w:val="00B55ED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55EDB"/>
    <w:pPr>
      <w:keepNext/>
      <w:spacing w:before="120" w:after="120" w:line="240" w:lineRule="auto"/>
      <w:outlineLvl w:val="3"/>
    </w:pPr>
    <w:rPr>
      <w:rFonts w:ascii="Arial" w:eastAsia="Times New Roman" w:hAnsi="Arial" w:cs="Times New Roman"/>
      <w:i/>
      <w:sz w:val="20"/>
      <w:szCs w:val="20"/>
      <w:lang w:val="en-GB"/>
    </w:rPr>
  </w:style>
  <w:style w:type="paragraph" w:styleId="Heading5">
    <w:name w:val="heading 5"/>
    <w:basedOn w:val="Normal"/>
    <w:next w:val="Normal"/>
    <w:link w:val="Heading5Char"/>
    <w:uiPriority w:val="9"/>
    <w:unhideWhenUsed/>
    <w:qFormat/>
    <w:rsid w:val="00B55ED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EDB"/>
    <w:pPr>
      <w:ind w:left="720"/>
      <w:contextualSpacing/>
    </w:pPr>
  </w:style>
  <w:style w:type="character" w:customStyle="1" w:styleId="Heading2Char">
    <w:name w:val="Heading 2 Char"/>
    <w:basedOn w:val="DefaultParagraphFont"/>
    <w:link w:val="Heading2"/>
    <w:rsid w:val="00B55EDB"/>
    <w:rPr>
      <w:rFonts w:ascii="Book Antiqua" w:eastAsia="Times New Roman" w:hAnsi="Book Antiqua" w:cs="Times New Roman"/>
      <w:b/>
      <w:sz w:val="18"/>
      <w:szCs w:val="20"/>
      <w:lang w:val="en-US"/>
    </w:rPr>
  </w:style>
  <w:style w:type="character" w:customStyle="1" w:styleId="Heading4Char">
    <w:name w:val="Heading 4 Char"/>
    <w:basedOn w:val="DefaultParagraphFont"/>
    <w:link w:val="Heading4"/>
    <w:rsid w:val="00B55EDB"/>
    <w:rPr>
      <w:rFonts w:ascii="Arial" w:eastAsia="Times New Roman" w:hAnsi="Arial" w:cs="Times New Roman"/>
      <w:i/>
      <w:sz w:val="20"/>
      <w:szCs w:val="20"/>
      <w:lang w:val="en-GB"/>
    </w:rPr>
  </w:style>
  <w:style w:type="paragraph" w:styleId="Header">
    <w:name w:val="header"/>
    <w:basedOn w:val="Normal"/>
    <w:link w:val="HeaderChar"/>
    <w:unhideWhenUsed/>
    <w:rsid w:val="00B55EDB"/>
    <w:pPr>
      <w:tabs>
        <w:tab w:val="center" w:pos="4513"/>
        <w:tab w:val="right" w:pos="9026"/>
      </w:tabs>
      <w:spacing w:after="0" w:line="240" w:lineRule="auto"/>
    </w:pPr>
  </w:style>
  <w:style w:type="character" w:customStyle="1" w:styleId="HeaderChar">
    <w:name w:val="Header Char"/>
    <w:basedOn w:val="DefaultParagraphFont"/>
    <w:link w:val="Header"/>
    <w:rsid w:val="00B55EDB"/>
  </w:style>
  <w:style w:type="paragraph" w:styleId="Footer">
    <w:name w:val="footer"/>
    <w:basedOn w:val="Normal"/>
    <w:link w:val="FooterChar"/>
    <w:uiPriority w:val="99"/>
    <w:unhideWhenUsed/>
    <w:rsid w:val="00B55E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5EDB"/>
  </w:style>
  <w:style w:type="paragraph" w:styleId="BalloonText">
    <w:name w:val="Balloon Text"/>
    <w:basedOn w:val="Normal"/>
    <w:link w:val="BalloonTextChar"/>
    <w:uiPriority w:val="99"/>
    <w:semiHidden/>
    <w:unhideWhenUsed/>
    <w:rsid w:val="00B55E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EDB"/>
    <w:rPr>
      <w:rFonts w:ascii="Tahoma" w:hAnsi="Tahoma" w:cs="Tahoma"/>
      <w:sz w:val="16"/>
      <w:szCs w:val="16"/>
    </w:rPr>
  </w:style>
  <w:style w:type="character" w:customStyle="1" w:styleId="Heading1Char">
    <w:name w:val="Heading 1 Char"/>
    <w:basedOn w:val="DefaultParagraphFont"/>
    <w:link w:val="Heading1"/>
    <w:uiPriority w:val="9"/>
    <w:rsid w:val="00B55ED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55EDB"/>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B55EDB"/>
    <w:rPr>
      <w:rFonts w:asciiTheme="majorHAnsi" w:eastAsiaTheme="majorEastAsia" w:hAnsiTheme="majorHAnsi" w:cstheme="majorBidi"/>
      <w:color w:val="243F60" w:themeColor="accent1" w:themeShade="7F"/>
    </w:rPr>
  </w:style>
  <w:style w:type="table" w:styleId="LightList-Accent3">
    <w:name w:val="Light List Accent 3"/>
    <w:basedOn w:val="TableNormal"/>
    <w:uiPriority w:val="61"/>
    <w:rsid w:val="0086333D"/>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5">
    <w:name w:val="Light List Accent 5"/>
    <w:basedOn w:val="TableNormal"/>
    <w:uiPriority w:val="61"/>
    <w:rsid w:val="00034C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EDB"/>
  </w:style>
  <w:style w:type="paragraph" w:styleId="Heading1">
    <w:name w:val="heading 1"/>
    <w:basedOn w:val="Normal"/>
    <w:next w:val="Normal"/>
    <w:link w:val="Heading1Char"/>
    <w:uiPriority w:val="9"/>
    <w:qFormat/>
    <w:rsid w:val="00B55E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B55EDB"/>
    <w:pPr>
      <w:keepNext/>
      <w:spacing w:before="40" w:after="40" w:line="240" w:lineRule="auto"/>
      <w:jc w:val="center"/>
      <w:outlineLvl w:val="1"/>
    </w:pPr>
    <w:rPr>
      <w:rFonts w:ascii="Book Antiqua" w:eastAsia="Times New Roman" w:hAnsi="Book Antiqua" w:cs="Times New Roman"/>
      <w:b/>
      <w:sz w:val="18"/>
      <w:szCs w:val="20"/>
      <w:lang w:val="en-US"/>
    </w:rPr>
  </w:style>
  <w:style w:type="paragraph" w:styleId="Heading3">
    <w:name w:val="heading 3"/>
    <w:basedOn w:val="Normal"/>
    <w:next w:val="Normal"/>
    <w:link w:val="Heading3Char"/>
    <w:uiPriority w:val="9"/>
    <w:unhideWhenUsed/>
    <w:qFormat/>
    <w:rsid w:val="00B55ED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55EDB"/>
    <w:pPr>
      <w:keepNext/>
      <w:spacing w:before="120" w:after="120" w:line="240" w:lineRule="auto"/>
      <w:outlineLvl w:val="3"/>
    </w:pPr>
    <w:rPr>
      <w:rFonts w:ascii="Arial" w:eastAsia="Times New Roman" w:hAnsi="Arial" w:cs="Times New Roman"/>
      <w:i/>
      <w:sz w:val="20"/>
      <w:szCs w:val="20"/>
      <w:lang w:val="en-GB"/>
    </w:rPr>
  </w:style>
  <w:style w:type="paragraph" w:styleId="Heading5">
    <w:name w:val="heading 5"/>
    <w:basedOn w:val="Normal"/>
    <w:next w:val="Normal"/>
    <w:link w:val="Heading5Char"/>
    <w:uiPriority w:val="9"/>
    <w:unhideWhenUsed/>
    <w:qFormat/>
    <w:rsid w:val="00B55ED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EDB"/>
    <w:pPr>
      <w:ind w:left="720"/>
      <w:contextualSpacing/>
    </w:pPr>
  </w:style>
  <w:style w:type="character" w:customStyle="1" w:styleId="Heading2Char">
    <w:name w:val="Heading 2 Char"/>
    <w:basedOn w:val="DefaultParagraphFont"/>
    <w:link w:val="Heading2"/>
    <w:rsid w:val="00B55EDB"/>
    <w:rPr>
      <w:rFonts w:ascii="Book Antiqua" w:eastAsia="Times New Roman" w:hAnsi="Book Antiqua" w:cs="Times New Roman"/>
      <w:b/>
      <w:sz w:val="18"/>
      <w:szCs w:val="20"/>
      <w:lang w:val="en-US"/>
    </w:rPr>
  </w:style>
  <w:style w:type="character" w:customStyle="1" w:styleId="Heading4Char">
    <w:name w:val="Heading 4 Char"/>
    <w:basedOn w:val="DefaultParagraphFont"/>
    <w:link w:val="Heading4"/>
    <w:rsid w:val="00B55EDB"/>
    <w:rPr>
      <w:rFonts w:ascii="Arial" w:eastAsia="Times New Roman" w:hAnsi="Arial" w:cs="Times New Roman"/>
      <w:i/>
      <w:sz w:val="20"/>
      <w:szCs w:val="20"/>
      <w:lang w:val="en-GB"/>
    </w:rPr>
  </w:style>
  <w:style w:type="paragraph" w:styleId="Header">
    <w:name w:val="header"/>
    <w:basedOn w:val="Normal"/>
    <w:link w:val="HeaderChar"/>
    <w:unhideWhenUsed/>
    <w:rsid w:val="00B55EDB"/>
    <w:pPr>
      <w:tabs>
        <w:tab w:val="center" w:pos="4513"/>
        <w:tab w:val="right" w:pos="9026"/>
      </w:tabs>
      <w:spacing w:after="0" w:line="240" w:lineRule="auto"/>
    </w:pPr>
  </w:style>
  <w:style w:type="character" w:customStyle="1" w:styleId="HeaderChar">
    <w:name w:val="Header Char"/>
    <w:basedOn w:val="DefaultParagraphFont"/>
    <w:link w:val="Header"/>
    <w:rsid w:val="00B55EDB"/>
  </w:style>
  <w:style w:type="paragraph" w:styleId="Footer">
    <w:name w:val="footer"/>
    <w:basedOn w:val="Normal"/>
    <w:link w:val="FooterChar"/>
    <w:uiPriority w:val="99"/>
    <w:unhideWhenUsed/>
    <w:rsid w:val="00B55E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5EDB"/>
  </w:style>
  <w:style w:type="paragraph" w:styleId="BalloonText">
    <w:name w:val="Balloon Text"/>
    <w:basedOn w:val="Normal"/>
    <w:link w:val="BalloonTextChar"/>
    <w:uiPriority w:val="99"/>
    <w:semiHidden/>
    <w:unhideWhenUsed/>
    <w:rsid w:val="00B55E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EDB"/>
    <w:rPr>
      <w:rFonts w:ascii="Tahoma" w:hAnsi="Tahoma" w:cs="Tahoma"/>
      <w:sz w:val="16"/>
      <w:szCs w:val="16"/>
    </w:rPr>
  </w:style>
  <w:style w:type="character" w:customStyle="1" w:styleId="Heading1Char">
    <w:name w:val="Heading 1 Char"/>
    <w:basedOn w:val="DefaultParagraphFont"/>
    <w:link w:val="Heading1"/>
    <w:uiPriority w:val="9"/>
    <w:rsid w:val="00B55ED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55EDB"/>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B55EDB"/>
    <w:rPr>
      <w:rFonts w:asciiTheme="majorHAnsi" w:eastAsiaTheme="majorEastAsia" w:hAnsiTheme="majorHAnsi" w:cstheme="majorBidi"/>
      <w:color w:val="243F60" w:themeColor="accent1" w:themeShade="7F"/>
    </w:rPr>
  </w:style>
  <w:style w:type="table" w:styleId="LightList-Accent3">
    <w:name w:val="Light List Accent 3"/>
    <w:basedOn w:val="TableNormal"/>
    <w:uiPriority w:val="61"/>
    <w:rsid w:val="0086333D"/>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5">
    <w:name w:val="Light List Accent 5"/>
    <w:basedOn w:val="TableNormal"/>
    <w:uiPriority w:val="61"/>
    <w:rsid w:val="00034C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1207</Words>
  <Characters>6882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Geraldine Anderson</dc:creator>
  <cp:lastModifiedBy>Geraldine Anderson</cp:lastModifiedBy>
  <cp:revision>7</cp:revision>
  <dcterms:created xsi:type="dcterms:W3CDTF">2016-08-05T09:46:00Z</dcterms:created>
  <dcterms:modified xsi:type="dcterms:W3CDTF">2016-08-05T10:58:00Z</dcterms:modified>
</cp:coreProperties>
</file>